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F500BD" w:rsidRPr="00621720" w14:paraId="29DD690A" w14:textId="77777777" w:rsidTr="00F500BD">
        <w:trPr>
          <w:trHeight w:val="850"/>
        </w:trPr>
        <w:tc>
          <w:tcPr>
            <w:tcW w:w="1559" w:type="dxa"/>
          </w:tcPr>
          <w:p w14:paraId="59B390FF" w14:textId="56D5EC56" w:rsidR="00F500BD" w:rsidRPr="00621720" w:rsidRDefault="00F500BD" w:rsidP="00F500BD">
            <w:pPr>
              <w:pStyle w:val="AUnitedNations"/>
              <w:rPr>
                <w:rFonts w:eastAsiaTheme="minorEastAsia"/>
              </w:rPr>
            </w:pPr>
            <w:r w:rsidRPr="00621720">
              <w:rPr>
                <w:rFonts w:eastAsiaTheme="minorEastAsia"/>
              </w:rPr>
              <w:t xml:space="preserve">United </w:t>
            </w:r>
            <w:r w:rsidRPr="00621720">
              <w:rPr>
                <w:rFonts w:eastAsiaTheme="minorEastAsia"/>
              </w:rPr>
              <w:br/>
              <w:t>Nations</w:t>
            </w:r>
          </w:p>
        </w:tc>
        <w:tc>
          <w:tcPr>
            <w:tcW w:w="6520" w:type="dxa"/>
          </w:tcPr>
          <w:p w14:paraId="58CE7E5F" w14:textId="058AE72C" w:rsidR="00F500BD" w:rsidRPr="00621720" w:rsidRDefault="00F500BD" w:rsidP="00F500BD">
            <w:pPr>
              <w:pStyle w:val="Normal-pool"/>
              <w:rPr>
                <w:rFonts w:eastAsiaTheme="minorEastAsia"/>
              </w:rPr>
            </w:pPr>
            <w:r w:rsidRPr="00621720">
              <w:rPr>
                <w:rFonts w:eastAsiaTheme="minorEastAsia"/>
                <w:noProof/>
              </w:rPr>
              <w:drawing>
                <wp:anchor distT="0" distB="0" distL="114300" distR="114300" simplePos="0" relativeHeight="251657216" behindDoc="0" locked="0" layoutInCell="1" allowOverlap="1" wp14:anchorId="3CD32AC6" wp14:editId="6BD8397F">
                  <wp:simplePos x="0" y="0"/>
                  <wp:positionH relativeFrom="column">
                    <wp:posOffset>1964</wp:posOffset>
                  </wp:positionH>
                  <wp:positionV relativeFrom="paragraph">
                    <wp:posOffset>180</wp:posOffset>
                  </wp:positionV>
                  <wp:extent cx="1269153" cy="573559"/>
                  <wp:effectExtent l="0" t="0" r="7620" b="0"/>
                  <wp:wrapNone/>
                  <wp:docPr id="8709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521" name=""/>
                          <pic:cNvPicPr/>
                        </pic:nvPicPr>
                        <pic:blipFill>
                          <a:blip r:embed="rId12">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04D2E665" w14:textId="77777777" w:rsidR="00F500BD" w:rsidRPr="00621720" w:rsidRDefault="00F500BD" w:rsidP="00F500BD">
            <w:pPr>
              <w:pStyle w:val="Normal-pool"/>
              <w:rPr>
                <w:rFonts w:eastAsiaTheme="minorEastAsia"/>
              </w:rPr>
            </w:pPr>
          </w:p>
        </w:tc>
      </w:tr>
    </w:tbl>
    <w:p w14:paraId="0EA9EBB6" w14:textId="77777777" w:rsidR="006533B3" w:rsidRPr="00621720" w:rsidRDefault="006533B3" w:rsidP="00F500BD">
      <w:pPr>
        <w:pStyle w:val="ASpacer"/>
        <w:rPr>
          <w:rFonts w:eastAsiaTheme="minorEastAsia"/>
        </w:rPr>
      </w:pPr>
    </w:p>
    <w:tbl>
      <w:tblPr>
        <w:tblW w:w="9496" w:type="dxa"/>
        <w:tblLook w:val="0000" w:firstRow="0" w:lastRow="0" w:firstColumn="0" w:lastColumn="0" w:noHBand="0" w:noVBand="0"/>
      </w:tblPr>
      <w:tblGrid>
        <w:gridCol w:w="6378"/>
        <w:gridCol w:w="3118"/>
      </w:tblGrid>
      <w:tr w:rsidR="00F500BD" w:rsidRPr="00621720" w14:paraId="227D91F0" w14:textId="77777777" w:rsidTr="00F500BD">
        <w:trPr>
          <w:trHeight w:val="340"/>
        </w:trPr>
        <w:tc>
          <w:tcPr>
            <w:tcW w:w="3358" w:type="pct"/>
            <w:vAlign w:val="bottom"/>
          </w:tcPr>
          <w:p w14:paraId="171241BC" w14:textId="77777777" w:rsidR="00F500BD" w:rsidRPr="00621720" w:rsidRDefault="00F500BD" w:rsidP="00F500BD">
            <w:pPr>
              <w:pStyle w:val="Normal-pool"/>
              <w:rPr>
                <w:rFonts w:eastAsiaTheme="minorEastAsia"/>
              </w:rPr>
            </w:pPr>
          </w:p>
        </w:tc>
        <w:tc>
          <w:tcPr>
            <w:tcW w:w="1642" w:type="pct"/>
            <w:noWrap/>
            <w:vAlign w:val="bottom"/>
          </w:tcPr>
          <w:p w14:paraId="32708A7C" w14:textId="35F344B7" w:rsidR="00F500BD" w:rsidRPr="00621720" w:rsidRDefault="007B17A4" w:rsidP="00F500BD">
            <w:pPr>
              <w:pStyle w:val="ASymbol"/>
            </w:pPr>
            <w:bookmarkStart w:id="0" w:name="Symbol1A"/>
            <w:r w:rsidRPr="00621720">
              <w:rPr>
                <w:b/>
                <w:sz w:val="28"/>
              </w:rPr>
              <w:t>UNEP</w:t>
            </w:r>
            <w:r w:rsidRPr="00621720">
              <w:t>/OzL.Pro</w:t>
            </w:r>
            <w:r>
              <w:t>.38/L.1</w:t>
            </w:r>
            <w:bookmarkEnd w:id="0"/>
          </w:p>
        </w:tc>
      </w:tr>
    </w:tbl>
    <w:p w14:paraId="37418528" w14:textId="77777777" w:rsidR="00F500BD" w:rsidRPr="00621720" w:rsidRDefault="00F500BD" w:rsidP="00F500BD">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F500BD" w:rsidRPr="00621720" w14:paraId="17B4F854" w14:textId="77777777" w:rsidTr="00F500BD">
        <w:trPr>
          <w:trHeight w:val="2098"/>
        </w:trPr>
        <w:tc>
          <w:tcPr>
            <w:tcW w:w="5386" w:type="dxa"/>
          </w:tcPr>
          <w:p w14:paraId="74E02093" w14:textId="1BAC8C43" w:rsidR="00F500BD" w:rsidRPr="00621720" w:rsidRDefault="00F500BD" w:rsidP="00F500BD">
            <w:pPr>
              <w:pStyle w:val="AConvName"/>
              <w:rPr>
                <w:rFonts w:eastAsiaTheme="minorEastAsia"/>
              </w:rPr>
            </w:pPr>
            <w:r w:rsidRPr="00621720">
              <w:rPr>
                <w:rFonts w:eastAsiaTheme="minorEastAsia"/>
              </w:rPr>
              <w:t xml:space="preserve">Montreal Protocol </w:t>
            </w:r>
            <w:r w:rsidRPr="00621720">
              <w:rPr>
                <w:rFonts w:eastAsiaTheme="minorEastAsia"/>
              </w:rPr>
              <w:br/>
              <w:t xml:space="preserve">on Substances that </w:t>
            </w:r>
            <w:r w:rsidRPr="00621720">
              <w:rPr>
                <w:rFonts w:eastAsiaTheme="minorEastAsia"/>
              </w:rPr>
              <w:br/>
              <w:t>Deplete the Ozone Layer</w:t>
            </w:r>
          </w:p>
        </w:tc>
        <w:tc>
          <w:tcPr>
            <w:tcW w:w="992" w:type="dxa"/>
          </w:tcPr>
          <w:p w14:paraId="554E9D73" w14:textId="77777777" w:rsidR="00F500BD" w:rsidRPr="00621720" w:rsidRDefault="00F500BD" w:rsidP="00F500BD">
            <w:pPr>
              <w:pStyle w:val="Normal-pool"/>
              <w:rPr>
                <w:rFonts w:eastAsiaTheme="minorEastAsia"/>
              </w:rPr>
            </w:pPr>
          </w:p>
        </w:tc>
        <w:tc>
          <w:tcPr>
            <w:tcW w:w="3118" w:type="dxa"/>
          </w:tcPr>
          <w:p w14:paraId="5D961B42" w14:textId="30E8F8B8" w:rsidR="00F500BD" w:rsidRPr="00621720" w:rsidRDefault="00F500BD" w:rsidP="00F500BD">
            <w:pPr>
              <w:pStyle w:val="AText"/>
              <w:rPr>
                <w:rFonts w:eastAsiaTheme="minorEastAsia"/>
              </w:rPr>
            </w:pPr>
            <w:r w:rsidRPr="00621720">
              <w:rPr>
                <w:rFonts w:eastAsiaTheme="minorEastAsia"/>
              </w:rPr>
              <w:t xml:space="preserve">Distr.: </w:t>
            </w:r>
            <w:bookmarkStart w:id="1" w:name="Distribution"/>
            <w:r w:rsidR="00017757" w:rsidRPr="00621720">
              <w:rPr>
                <w:rFonts w:eastAsiaTheme="minorEastAsia"/>
              </w:rPr>
              <w:t>Limited</w:t>
            </w:r>
            <w:bookmarkEnd w:id="1"/>
            <w:r w:rsidRPr="00621720">
              <w:rPr>
                <w:rFonts w:eastAsiaTheme="minorEastAsia"/>
              </w:rPr>
              <w:t xml:space="preserve"> </w:t>
            </w:r>
          </w:p>
          <w:p w14:paraId="7AA23470" w14:textId="362C9083" w:rsidR="00F500BD" w:rsidRPr="00621720" w:rsidRDefault="009D1922" w:rsidP="00F500BD">
            <w:pPr>
              <w:pStyle w:val="AText0"/>
              <w:rPr>
                <w:rFonts w:eastAsiaTheme="minorEastAsia"/>
              </w:rPr>
            </w:pPr>
            <w:bookmarkStart w:id="2" w:name="DistributionDate"/>
            <w:r w:rsidRPr="00621720">
              <w:rPr>
                <w:rFonts w:eastAsiaTheme="minorEastAsia"/>
              </w:rPr>
              <w:t>4</w:t>
            </w:r>
            <w:r w:rsidR="00017757" w:rsidRPr="00621720">
              <w:rPr>
                <w:rFonts w:eastAsiaTheme="minorEastAsia"/>
              </w:rPr>
              <w:t xml:space="preserve"> November 2026</w:t>
            </w:r>
            <w:bookmarkEnd w:id="2"/>
            <w:r w:rsidR="00F500BD" w:rsidRPr="00621720">
              <w:rPr>
                <w:rFonts w:eastAsiaTheme="minorEastAsia"/>
              </w:rPr>
              <w:t xml:space="preserve"> </w:t>
            </w:r>
          </w:p>
          <w:p w14:paraId="43FB388B" w14:textId="1BE3DF29" w:rsidR="00F500BD" w:rsidRPr="00621720" w:rsidRDefault="00F500BD" w:rsidP="00F500BD">
            <w:pPr>
              <w:pStyle w:val="AText"/>
              <w:rPr>
                <w:rFonts w:eastAsiaTheme="minorEastAsia"/>
              </w:rPr>
            </w:pPr>
            <w:bookmarkStart w:id="3" w:name="DistributionLang"/>
            <w:r w:rsidRPr="00621720">
              <w:rPr>
                <w:rFonts w:eastAsiaTheme="minorEastAsia"/>
              </w:rPr>
              <w:t>Original: English</w:t>
            </w:r>
            <w:bookmarkEnd w:id="3"/>
          </w:p>
        </w:tc>
      </w:tr>
    </w:tbl>
    <w:p w14:paraId="5D5B802D" w14:textId="77777777" w:rsidR="00F500BD" w:rsidRPr="00621720" w:rsidRDefault="00F500BD" w:rsidP="00F500BD">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F500BD" w:rsidRPr="00621720" w14:paraId="48973C0C" w14:textId="77777777" w:rsidTr="00F500BD">
        <w:trPr>
          <w:trHeight w:val="57"/>
        </w:trPr>
        <w:tc>
          <w:tcPr>
            <w:tcW w:w="5301" w:type="dxa"/>
          </w:tcPr>
          <w:p w14:paraId="764AC940" w14:textId="598C6698" w:rsidR="00F500BD" w:rsidRPr="00621720" w:rsidRDefault="00F500BD" w:rsidP="00F500BD">
            <w:pPr>
              <w:pStyle w:val="AATitle"/>
              <w:rPr>
                <w:rFonts w:eastAsiaTheme="minorEastAsia"/>
              </w:rPr>
            </w:pPr>
            <w:bookmarkStart w:id="4" w:name="CorNot1Text"/>
            <w:r w:rsidRPr="00621720">
              <w:rPr>
                <w:rFonts w:eastAsiaTheme="minorEastAsia"/>
              </w:rPr>
              <w:t xml:space="preserve">Thirty-Eighth Meeting of the Parties to </w:t>
            </w:r>
            <w:r w:rsidRPr="00621720">
              <w:rPr>
                <w:rFonts w:eastAsiaTheme="minorEastAsia"/>
              </w:rPr>
              <w:br/>
              <w:t xml:space="preserve">the Montreal Protocol on Substances </w:t>
            </w:r>
            <w:r w:rsidRPr="00621720">
              <w:rPr>
                <w:rFonts w:eastAsiaTheme="minorEastAsia"/>
              </w:rPr>
              <w:br/>
              <w:t>that Deplete the Ozone Layer</w:t>
            </w:r>
            <w:bookmarkEnd w:id="4"/>
            <w:r w:rsidRPr="00621720">
              <w:rPr>
                <w:rFonts w:eastAsiaTheme="minorEastAsia"/>
              </w:rPr>
              <w:t xml:space="preserve"> </w:t>
            </w:r>
          </w:p>
          <w:p w14:paraId="025DFAFE" w14:textId="75282AA9" w:rsidR="00F500BD" w:rsidRPr="00621720" w:rsidRDefault="00F500BD" w:rsidP="00017757">
            <w:pPr>
              <w:pStyle w:val="AATitle1"/>
              <w:rPr>
                <w:rFonts w:eastAsiaTheme="minorEastAsia"/>
              </w:rPr>
            </w:pPr>
            <w:bookmarkStart w:id="5" w:name="CorNot1VenueDate"/>
            <w:r w:rsidRPr="00621720">
              <w:rPr>
                <w:rFonts w:eastAsiaTheme="minorEastAsia"/>
              </w:rPr>
              <w:t>Kigali, 2–6 November 2026</w:t>
            </w:r>
            <w:bookmarkEnd w:id="5"/>
            <w:r w:rsidRPr="00621720">
              <w:rPr>
                <w:rFonts w:eastAsiaTheme="minorEastAsia"/>
              </w:rPr>
              <w:t xml:space="preserve"> </w:t>
            </w:r>
          </w:p>
        </w:tc>
        <w:tc>
          <w:tcPr>
            <w:tcW w:w="4195" w:type="dxa"/>
          </w:tcPr>
          <w:p w14:paraId="6A7293A6" w14:textId="77777777" w:rsidR="00F500BD" w:rsidRPr="00621720" w:rsidRDefault="00F500BD" w:rsidP="00F500BD">
            <w:pPr>
              <w:pStyle w:val="Normal-pool"/>
              <w:rPr>
                <w:rFonts w:eastAsiaTheme="minorEastAsia"/>
              </w:rPr>
            </w:pPr>
          </w:p>
        </w:tc>
      </w:tr>
    </w:tbl>
    <w:p w14:paraId="090A6A6C" w14:textId="69182D6F" w:rsidR="005B2239" w:rsidRPr="00621720" w:rsidRDefault="005B2239" w:rsidP="00DA1CA7">
      <w:pPr>
        <w:pStyle w:val="BBTitle"/>
      </w:pPr>
      <w:r w:rsidRPr="00621720">
        <w:t xml:space="preserve">Draft report of </w:t>
      </w:r>
      <w:r w:rsidR="004006DB" w:rsidRPr="00621720">
        <w:t xml:space="preserve">the </w:t>
      </w:r>
      <w:r w:rsidRPr="00621720">
        <w:t>Thirty-Eighth Meeting of the Parties to the Montreal Protocol on Substances that Deplete the Ozone Layer</w:t>
      </w:r>
    </w:p>
    <w:p w14:paraId="6FA15F9D" w14:textId="77777777" w:rsidR="005B2239" w:rsidRPr="00621720" w:rsidRDefault="005B2239" w:rsidP="005B2239">
      <w:pPr>
        <w:pStyle w:val="CH1"/>
      </w:pPr>
      <w:r w:rsidRPr="00621720">
        <w:tab/>
      </w:r>
      <w:r w:rsidRPr="00621720">
        <w:tab/>
        <w:t>Introduction</w:t>
      </w:r>
    </w:p>
    <w:p w14:paraId="1CDDF496" w14:textId="67DFD545" w:rsidR="005B2239" w:rsidRPr="00621720" w:rsidRDefault="004006DB" w:rsidP="00DA1CA7">
      <w:pPr>
        <w:pStyle w:val="Normalnumber"/>
        <w:tabs>
          <w:tab w:val="clear" w:pos="1247"/>
          <w:tab w:val="clear" w:pos="1814"/>
          <w:tab w:val="clear" w:pos="2381"/>
          <w:tab w:val="clear" w:pos="2948"/>
          <w:tab w:val="clear" w:pos="3515"/>
          <w:tab w:val="left" w:pos="624"/>
        </w:tabs>
        <w:ind w:left="1247"/>
      </w:pPr>
      <w:r w:rsidRPr="00621720">
        <w:rPr>
          <w:rFonts w:ascii="Times" w:hAnsi="Times" w:cs="Times"/>
          <w:color w:val="000000"/>
        </w:rPr>
        <w:t xml:space="preserve">The Thirty-Eighth Meeting of the Parties to the Montreal Protocol on Substances that Deplete the Ozone Layer was held at the Kigali Convention Centre, Kigali, from 2 to </w:t>
      </w:r>
      <w:r w:rsidR="00512697" w:rsidRPr="00621720">
        <w:rPr>
          <w:rFonts w:ascii="Times" w:hAnsi="Times" w:cs="Times"/>
          <w:color w:val="000000"/>
        </w:rPr>
        <w:t>6</w:t>
      </w:r>
      <w:r w:rsidRPr="00621720">
        <w:rPr>
          <w:rFonts w:ascii="Times" w:hAnsi="Times" w:cs="Times"/>
          <w:color w:val="000000"/>
        </w:rPr>
        <w:t xml:space="preserve"> November 2026.</w:t>
      </w:r>
    </w:p>
    <w:p w14:paraId="09FCDD5C" w14:textId="774FA5A7" w:rsidR="005B2239" w:rsidRPr="00621720" w:rsidRDefault="005B2239" w:rsidP="005B2239">
      <w:pPr>
        <w:pStyle w:val="CH1"/>
        <w:keepNext w:val="0"/>
        <w:keepLines w:val="0"/>
        <w:spacing w:before="180"/>
      </w:pPr>
      <w:r w:rsidRPr="00621720">
        <w:tab/>
      </w:r>
      <w:r w:rsidRPr="00621720">
        <w:tab/>
        <w:t>Part one: preparatory segment (</w:t>
      </w:r>
      <w:r w:rsidR="009D30D7" w:rsidRPr="00621720">
        <w:t>2</w:t>
      </w:r>
      <w:r w:rsidRPr="00621720">
        <w:t>–</w:t>
      </w:r>
      <w:r w:rsidR="009D30D7" w:rsidRPr="00621720">
        <w:t>4</w:t>
      </w:r>
      <w:r w:rsidRPr="00621720">
        <w:t xml:space="preserve"> November 202</w:t>
      </w:r>
      <w:r w:rsidR="009D30D7" w:rsidRPr="00621720">
        <w:t>6</w:t>
      </w:r>
      <w:r w:rsidRPr="00621720">
        <w:t>)</w:t>
      </w:r>
    </w:p>
    <w:p w14:paraId="4E305FF9" w14:textId="31ED464C" w:rsidR="005B2239" w:rsidRPr="00621720" w:rsidRDefault="005B2239" w:rsidP="005B2239">
      <w:pPr>
        <w:pStyle w:val="CH1"/>
        <w:keepNext w:val="0"/>
        <w:keepLines w:val="0"/>
      </w:pPr>
      <w:r w:rsidRPr="00621720">
        <w:tab/>
        <w:t>I.</w:t>
      </w:r>
      <w:r w:rsidRPr="00621720">
        <w:tab/>
        <w:t>Opening of the preparatory segment</w:t>
      </w:r>
    </w:p>
    <w:p w14:paraId="2B1D4065" w14:textId="35852DAE" w:rsidR="00417A6F" w:rsidRPr="00621720" w:rsidRDefault="00417A6F" w:rsidP="00417A6F">
      <w:pPr>
        <w:pStyle w:val="Normalnumber"/>
        <w:tabs>
          <w:tab w:val="clear" w:pos="1247"/>
          <w:tab w:val="clear" w:pos="1814"/>
          <w:tab w:val="clear" w:pos="2381"/>
          <w:tab w:val="clear" w:pos="2948"/>
          <w:tab w:val="clear" w:pos="3515"/>
          <w:tab w:val="left" w:pos="624"/>
        </w:tabs>
        <w:ind w:left="1247"/>
      </w:pPr>
      <w:r w:rsidRPr="00621720">
        <w:rPr>
          <w:rFonts w:ascii="Times" w:hAnsi="Times" w:cs="Times"/>
          <w:color w:val="000000"/>
        </w:rPr>
        <w:t>The preparatory segment was opened by its Co-Chairs, Annie Gabriel (Australia) and Igobe</w:t>
      </w:r>
      <w:r w:rsidR="007B17A4">
        <w:rPr>
          <w:rFonts w:ascii="Times" w:hAnsi="Times" w:cs="Times"/>
          <w:color w:val="000000"/>
        </w:rPr>
        <w:t> </w:t>
      </w:r>
      <w:r w:rsidRPr="00621720">
        <w:rPr>
          <w:rFonts w:ascii="Times" w:hAnsi="Times" w:cs="Times"/>
          <w:color w:val="000000"/>
        </w:rPr>
        <w:t>Mbulawa (Botswana), at 10.</w:t>
      </w:r>
      <w:r w:rsidR="00333E85" w:rsidRPr="00621720">
        <w:rPr>
          <w:rFonts w:ascii="Times" w:hAnsi="Times" w:cs="Times"/>
          <w:color w:val="000000"/>
        </w:rPr>
        <w:t>1</w:t>
      </w:r>
      <w:r w:rsidRPr="00621720">
        <w:rPr>
          <w:rFonts w:ascii="Times" w:hAnsi="Times" w:cs="Times"/>
          <w:color w:val="000000"/>
        </w:rPr>
        <w:t xml:space="preserve">5 a.m. on Monday, 2 November 2026. </w:t>
      </w:r>
      <w:r w:rsidR="00512697" w:rsidRPr="00621720">
        <w:rPr>
          <w:rFonts w:ascii="Times" w:hAnsi="Times" w:cs="Times"/>
          <w:color w:val="000000"/>
        </w:rPr>
        <w:t>O</w:t>
      </w:r>
      <w:r w:rsidRPr="00621720">
        <w:rPr>
          <w:rFonts w:ascii="Times" w:hAnsi="Times" w:cs="Times"/>
          <w:color w:val="000000"/>
        </w:rPr>
        <w:t>pening statement</w:t>
      </w:r>
      <w:r w:rsidR="00512697" w:rsidRPr="00621720">
        <w:rPr>
          <w:rFonts w:ascii="Times" w:hAnsi="Times" w:cs="Times"/>
          <w:color w:val="000000"/>
        </w:rPr>
        <w:t>s</w:t>
      </w:r>
      <w:r w:rsidRPr="00621720">
        <w:rPr>
          <w:rFonts w:ascii="Times" w:hAnsi="Times" w:cs="Times"/>
          <w:color w:val="000000"/>
        </w:rPr>
        <w:t xml:space="preserve"> w</w:t>
      </w:r>
      <w:r w:rsidR="00512697" w:rsidRPr="00621720">
        <w:rPr>
          <w:rFonts w:ascii="Times" w:hAnsi="Times" w:cs="Times"/>
          <w:color w:val="000000"/>
        </w:rPr>
        <w:t>ere</w:t>
      </w:r>
      <w:r w:rsidRPr="00621720">
        <w:rPr>
          <w:rFonts w:ascii="Times" w:hAnsi="Times" w:cs="Times"/>
          <w:color w:val="000000"/>
        </w:rPr>
        <w:t xml:space="preserve"> delivered by </w:t>
      </w:r>
      <w:r w:rsidR="00512697" w:rsidRPr="00621720">
        <w:rPr>
          <w:rFonts w:ascii="Times" w:hAnsi="Times" w:cs="Times"/>
          <w:color w:val="000000"/>
        </w:rPr>
        <w:t xml:space="preserve">Megumi Seki, </w:t>
      </w:r>
      <w:r w:rsidRPr="00621720">
        <w:rPr>
          <w:rFonts w:ascii="Times" w:hAnsi="Times" w:cs="Times"/>
          <w:color w:val="000000"/>
        </w:rPr>
        <w:t>Executive Secretary of the Ozone Secretariat</w:t>
      </w:r>
      <w:r w:rsidR="00512697" w:rsidRPr="00621720">
        <w:rPr>
          <w:rFonts w:ascii="Times" w:hAnsi="Times" w:cs="Times"/>
          <w:color w:val="000000"/>
        </w:rPr>
        <w:t>, and Bernadette Arakwiye, Minister of the Environment, Rwanda</w:t>
      </w:r>
      <w:r w:rsidRPr="00621720">
        <w:rPr>
          <w:rFonts w:ascii="Times" w:hAnsi="Times" w:cs="Times"/>
          <w:color w:val="000000"/>
        </w:rPr>
        <w:t>.</w:t>
      </w:r>
    </w:p>
    <w:p w14:paraId="2CD83340" w14:textId="1715C9DF" w:rsidR="00FB660E" w:rsidRPr="00621720" w:rsidRDefault="0091514E" w:rsidP="00333E85">
      <w:pPr>
        <w:pStyle w:val="Normalnumber"/>
        <w:tabs>
          <w:tab w:val="clear" w:pos="1247"/>
          <w:tab w:val="clear" w:pos="1814"/>
          <w:tab w:val="clear" w:pos="2381"/>
          <w:tab w:val="clear" w:pos="2948"/>
          <w:tab w:val="clear" w:pos="3515"/>
          <w:tab w:val="left" w:pos="624"/>
        </w:tabs>
        <w:ind w:left="1247"/>
      </w:pPr>
      <w:r w:rsidRPr="00621720">
        <w:t>In her statement</w:t>
      </w:r>
      <w:r w:rsidR="00417A6F" w:rsidRPr="00621720">
        <w:t xml:space="preserve">, </w:t>
      </w:r>
      <w:r w:rsidRPr="00621720">
        <w:t xml:space="preserve">Ms. Seki </w:t>
      </w:r>
      <w:r w:rsidR="00333E85" w:rsidRPr="00621720">
        <w:t xml:space="preserve">thanked the Government of Rwanda for its </w:t>
      </w:r>
      <w:r w:rsidR="00616DBC" w:rsidRPr="00621720">
        <w:t>generous</w:t>
      </w:r>
      <w:r w:rsidR="00333E85" w:rsidRPr="00621720">
        <w:t xml:space="preserve"> </w:t>
      </w:r>
      <w:r w:rsidR="00F34CAA" w:rsidRPr="00621720">
        <w:t>hosting</w:t>
      </w:r>
      <w:r w:rsidR="00333E85" w:rsidRPr="00621720">
        <w:t xml:space="preserve"> </w:t>
      </w:r>
      <w:r w:rsidR="001C1285" w:rsidRPr="00621720">
        <w:t>of</w:t>
      </w:r>
      <w:r w:rsidR="00E7029B" w:rsidRPr="00621720">
        <w:t xml:space="preserve"> the current meeting</w:t>
      </w:r>
      <w:r w:rsidR="001C1285" w:rsidRPr="00621720">
        <w:t xml:space="preserve"> </w:t>
      </w:r>
      <w:r w:rsidR="00333E85" w:rsidRPr="00621720">
        <w:t xml:space="preserve">and Rwandan </w:t>
      </w:r>
      <w:r w:rsidR="00333E85" w:rsidRPr="00621720">
        <w:rPr>
          <w:rFonts w:ascii="Times" w:hAnsi="Times" w:cs="Times"/>
          <w:color w:val="000000"/>
        </w:rPr>
        <w:t>colleagues</w:t>
      </w:r>
      <w:r w:rsidR="00333E85" w:rsidRPr="00621720">
        <w:t xml:space="preserve"> for their tireless work in organizing</w:t>
      </w:r>
      <w:r w:rsidR="00E7029B" w:rsidRPr="00621720">
        <w:t xml:space="preserve"> it</w:t>
      </w:r>
      <w:r w:rsidR="00333E85" w:rsidRPr="00621720">
        <w:t xml:space="preserve">, </w:t>
      </w:r>
      <w:r w:rsidR="00E7029B" w:rsidRPr="00621720">
        <w:t>including in the context</w:t>
      </w:r>
      <w:r w:rsidR="00333E85" w:rsidRPr="00621720">
        <w:t xml:space="preserve"> of the public health concerns affecting the region. Returning to Kigali was an occasion to celebrate the adoption of the Kigali Amendment to the Protocol 10 years earlier, by which parties had chosen cooperation over division, consensus over disagreement and global benefits over national interests. The Protocol’s extraordinary successes, including the phase-out of 99.5 per cent of </w:t>
      </w:r>
      <w:r w:rsidR="007B17A4">
        <w:t>ozone</w:t>
      </w:r>
      <w:r w:rsidR="007B17A4">
        <w:noBreakHyphen/>
      </w:r>
      <w:r w:rsidR="00333E85" w:rsidRPr="00621720">
        <w:t xml:space="preserve">depleting substances worldwide, had benefited human health, ecosystems, economies and future generations. The Kigali Amendment, applied in conjunction with energy efficiency measures in cooling, could help avoid up to 1°C of global warming by the end of the century. </w:t>
      </w:r>
    </w:p>
    <w:p w14:paraId="392D8B5D" w14:textId="38E82B39" w:rsidR="00333E85" w:rsidRPr="00621720" w:rsidRDefault="00333E85" w:rsidP="00333E85">
      <w:pPr>
        <w:pStyle w:val="Normalnumber"/>
        <w:tabs>
          <w:tab w:val="clear" w:pos="1247"/>
          <w:tab w:val="clear" w:pos="1814"/>
          <w:tab w:val="clear" w:pos="2381"/>
          <w:tab w:val="clear" w:pos="2948"/>
          <w:tab w:val="clear" w:pos="3515"/>
          <w:tab w:val="left" w:pos="624"/>
        </w:tabs>
        <w:ind w:left="1247"/>
      </w:pPr>
      <w:r w:rsidRPr="00621720">
        <w:t xml:space="preserve">Turning to the matters for </w:t>
      </w:r>
      <w:r w:rsidR="00FB660E" w:rsidRPr="00621720">
        <w:t xml:space="preserve">consideration </w:t>
      </w:r>
      <w:r w:rsidRPr="00621720">
        <w:t xml:space="preserve">at the current meeting, she said that the Multilateral Fund for the Implementation of the Montreal Protocol was among the great innovations </w:t>
      </w:r>
      <w:r w:rsidR="00FB660E" w:rsidRPr="00621720">
        <w:t>under</w:t>
      </w:r>
      <w:r w:rsidRPr="00621720">
        <w:t xml:space="preserve"> the Protocol, and parties would consider the</w:t>
      </w:r>
      <w:r w:rsidRPr="00621720">
        <w:rPr>
          <w:b/>
          <w:bCs/>
        </w:rPr>
        <w:t xml:space="preserve"> </w:t>
      </w:r>
      <w:r w:rsidRPr="00621720">
        <w:t xml:space="preserve">replenishment of the Fund for the </w:t>
      </w:r>
      <w:r w:rsidR="00195D1D" w:rsidRPr="00621720">
        <w:t xml:space="preserve">triennium </w:t>
      </w:r>
      <w:r w:rsidRPr="00621720">
        <w:t xml:space="preserve">2027–2029. Recalling several principles that had guided discussions on past replenishments, she said that </w:t>
      </w:r>
      <w:proofErr w:type="gramStart"/>
      <w:r w:rsidRPr="00621720">
        <w:t>in order to</w:t>
      </w:r>
      <w:proofErr w:type="gramEnd"/>
      <w:r w:rsidRPr="00621720">
        <w:t xml:space="preserve"> enable developing countries to fulfil their obligations, funding should be sufficient, stable, new and additional. In relation to strengthening the Montreal Protocol institutions, proposals would be considered on </w:t>
      </w:r>
      <w:r w:rsidRPr="00621720">
        <w:rPr>
          <w:rFonts w:ascii="Times" w:hAnsi="Times" w:cs="Times"/>
          <w:color w:val="000000"/>
        </w:rPr>
        <w:t>licensing</w:t>
      </w:r>
      <w:r w:rsidRPr="00621720">
        <w:t xml:space="preserve"> systems, data reporting and illegal trade. The efficiency and long-term viability of Protocol operations would also be addressed, and she thanked parties whose recent contributions had improved the Secretariat’s financial </w:t>
      </w:r>
      <w:proofErr w:type="gramStart"/>
      <w:r w:rsidRPr="00621720">
        <w:t>position</w:t>
      </w:r>
      <w:r w:rsidR="00EB1F04" w:rsidRPr="00621720">
        <w:t>,</w:t>
      </w:r>
      <w:r w:rsidRPr="00621720">
        <w:t xml:space="preserve"> and</w:t>
      </w:r>
      <w:proofErr w:type="gramEnd"/>
      <w:r w:rsidRPr="00621720">
        <w:t xml:space="preserve"> underscored the importance of finding efficiencies to ensure that the Protocol remained responsive to future challenges, rather than seeking to do less with less. </w:t>
      </w:r>
    </w:p>
    <w:p w14:paraId="23483CB6" w14:textId="5A254310" w:rsidR="00333E85" w:rsidRPr="00621720" w:rsidRDefault="00333E85" w:rsidP="00333E85">
      <w:pPr>
        <w:pStyle w:val="Normalnumber"/>
        <w:tabs>
          <w:tab w:val="clear" w:pos="1247"/>
          <w:tab w:val="clear" w:pos="1814"/>
          <w:tab w:val="clear" w:pos="2381"/>
          <w:tab w:val="clear" w:pos="2948"/>
          <w:tab w:val="clear" w:pos="3515"/>
          <w:tab w:val="left" w:pos="624"/>
        </w:tabs>
        <w:ind w:left="1247"/>
      </w:pPr>
      <w:r w:rsidRPr="00621720">
        <w:t xml:space="preserve">Thanking the scientists and experts who contributed to the assessment panels and the Advisory Committee of the </w:t>
      </w:r>
      <w:r w:rsidR="00195D1D" w:rsidRPr="00621720">
        <w:t>General Trust Fund for Financing Activities on Research and Systematic Observations Relevant to the Vienna Convention for the Protection of the Ozone Layer</w:t>
      </w:r>
      <w:r w:rsidRPr="00621720">
        <w:t xml:space="preserve">, she said that sound science was among the foundations of the Protocol’s success, along with technological </w:t>
      </w:r>
      <w:r w:rsidRPr="00621720">
        <w:lastRenderedPageBreak/>
        <w:t xml:space="preserve">innovation, sustained financial support and the willingness of parties to work together, and those strengths should be reinforced. </w:t>
      </w:r>
      <w:proofErr w:type="gramStart"/>
      <w:r w:rsidRPr="00621720">
        <w:t>With regard to</w:t>
      </w:r>
      <w:proofErr w:type="gramEnd"/>
      <w:r w:rsidRPr="00621720">
        <w:t xml:space="preserve"> the regional atmospheric monitoring of controlled substances, she emphasized that atmospheric observations provided an independent means of identifying unexpected emissions, assessing the effectiveness of actions under the Protocol and responding to emerging challenges. </w:t>
      </w:r>
    </w:p>
    <w:p w14:paraId="254DE85D" w14:textId="6EC96819" w:rsidR="00333E85" w:rsidRPr="00621720" w:rsidRDefault="00333E85" w:rsidP="00333E85">
      <w:pPr>
        <w:pStyle w:val="Normalnumber"/>
        <w:tabs>
          <w:tab w:val="clear" w:pos="1247"/>
          <w:tab w:val="clear" w:pos="1814"/>
          <w:tab w:val="clear" w:pos="2381"/>
          <w:tab w:val="clear" w:pos="2948"/>
          <w:tab w:val="clear" w:pos="3515"/>
          <w:tab w:val="left" w:pos="624"/>
        </w:tabs>
        <w:ind w:left="1247"/>
      </w:pPr>
      <w:r w:rsidRPr="00621720">
        <w:t xml:space="preserve">Among other recent activities, the Secretariat had developed </w:t>
      </w:r>
      <w:proofErr w:type="spellStart"/>
      <w:r w:rsidRPr="00621720">
        <w:t>OzoneGPT</w:t>
      </w:r>
      <w:proofErr w:type="spellEnd"/>
      <w:r w:rsidRPr="00621720">
        <w:t xml:space="preserve">, an artificial intelligence </w:t>
      </w:r>
      <w:r w:rsidR="00195D1D" w:rsidRPr="00621720">
        <w:t xml:space="preserve">(AI) </w:t>
      </w:r>
      <w:r w:rsidRPr="00621720">
        <w:t xml:space="preserve">platform designed to make Montreal Protocol </w:t>
      </w:r>
      <w:r w:rsidRPr="00621720">
        <w:rPr>
          <w:rFonts w:ascii="Times" w:hAnsi="Times" w:cs="Times"/>
          <w:color w:val="000000"/>
        </w:rPr>
        <w:t>decisions</w:t>
      </w:r>
      <w:r w:rsidRPr="00621720">
        <w:t>, reports and scientific assessments more accessible, and an interactive online tool for estimating the costs of establishing and operating atmospheric monitoring stations. She invited participants to try them out at the current meeting. Finally, recalling that she and several colleagues would soon be retiring from their roles under the Montreal Protocol</w:t>
      </w:r>
      <w:r w:rsidR="00FB660E" w:rsidRPr="00621720">
        <w:t xml:space="preserve"> or had already done so</w:t>
      </w:r>
      <w:r w:rsidRPr="00621720">
        <w:t>, she said that an opportunity for farewells would be provided at the closing session of the current meeting, once the important business of negotiations had been concluded.</w:t>
      </w:r>
    </w:p>
    <w:p w14:paraId="38D7EDE2" w14:textId="116A2574" w:rsidR="00333E85" w:rsidRPr="00621720" w:rsidRDefault="00333E85" w:rsidP="00333E85">
      <w:pPr>
        <w:pStyle w:val="Normalnumber"/>
        <w:tabs>
          <w:tab w:val="clear" w:pos="1247"/>
          <w:tab w:val="clear" w:pos="1814"/>
          <w:tab w:val="clear" w:pos="2381"/>
          <w:tab w:val="clear" w:pos="2948"/>
          <w:tab w:val="clear" w:pos="3515"/>
          <w:tab w:val="left" w:pos="624"/>
        </w:tabs>
        <w:ind w:left="1247"/>
      </w:pPr>
      <w:r w:rsidRPr="00621720">
        <w:t xml:space="preserve">Welcoming participants, Ms. </w:t>
      </w:r>
      <w:proofErr w:type="spellStart"/>
      <w:r w:rsidRPr="00621720">
        <w:t>Arakwiye</w:t>
      </w:r>
      <w:proofErr w:type="spellEnd"/>
      <w:r w:rsidRPr="00621720">
        <w:t xml:space="preserve"> recalled that some had doubted, prior to the adoption of the Kigali Amendment in 2016, that climate action and development could be complementary. The Twenty-Eighth Meeting of the Parties had chosen, </w:t>
      </w:r>
      <w:r w:rsidRPr="00621720">
        <w:rPr>
          <w:rFonts w:ascii="Times" w:hAnsi="Times" w:cs="Times"/>
          <w:color w:val="000000"/>
        </w:rPr>
        <w:t>nevertheless</w:t>
      </w:r>
      <w:r w:rsidRPr="00621720">
        <w:t>, to be ambitious, in the belief that the phase</w:t>
      </w:r>
      <w:r w:rsidR="00115FE2" w:rsidRPr="00621720">
        <w:t>-</w:t>
      </w:r>
      <w:r w:rsidRPr="00621720">
        <w:t xml:space="preserve">down of hydrofluorocarbon (HFC) consumption and production would not hinder economic and social </w:t>
      </w:r>
      <w:proofErr w:type="gramStart"/>
      <w:r w:rsidRPr="00621720">
        <w:t>progress, but</w:t>
      </w:r>
      <w:proofErr w:type="gramEnd"/>
      <w:r w:rsidRPr="00621720">
        <w:t xml:space="preserve"> would support it. Over the past decade, that vision had been realized through dedicated work, participation and implementation, and she noted that developing countries were ahead of schedule in meeting their commitments. Experience had shown that when Governments sent clear signals that change was coming, innovation followed. </w:t>
      </w:r>
    </w:p>
    <w:p w14:paraId="4ECDD67C" w14:textId="42FABAD0" w:rsidR="00333E85" w:rsidRPr="00621720" w:rsidRDefault="00333E85" w:rsidP="00333E85">
      <w:pPr>
        <w:pStyle w:val="Normalnumber"/>
        <w:tabs>
          <w:tab w:val="clear" w:pos="1247"/>
          <w:tab w:val="clear" w:pos="1814"/>
          <w:tab w:val="clear" w:pos="2381"/>
          <w:tab w:val="clear" w:pos="2948"/>
          <w:tab w:val="clear" w:pos="3515"/>
          <w:tab w:val="left" w:pos="624"/>
        </w:tabs>
        <w:ind w:left="1247"/>
      </w:pPr>
      <w:r w:rsidRPr="00621720">
        <w:t>Adequate and predictable resources for the Multilateral Fund provided the foundation for the work under the Protocol, and she urged parties to support an ambitious replenishment for the triennium 2027</w:t>
      </w:r>
      <w:r w:rsidR="003A6FAA" w:rsidRPr="00621720">
        <w:t>–</w:t>
      </w:r>
      <w:r w:rsidRPr="00621720">
        <w:t xml:space="preserve">2029. Noting that the goals under the Protocol aligned with and complemented global commitments to sustainable development and the climate, energy and development agendas, she said that energy efficiency was where those agendas met. Parties should thus ensure that their national climate, energy and ozone authorities worked together. Similar coherence was also essential to work on life-cycle refrigerant management. Supportive institutions should continue to be designed to be effective, adaptable and fit for purpose, with strong, capable secretariats and decision-making bodies; and it should be ensured that national ozone units and implementing agencies and regional centres of excellence enacted meaningful change and made a real difference to the countries they served. </w:t>
      </w:r>
    </w:p>
    <w:p w14:paraId="49AA35A7" w14:textId="4C1CF442" w:rsidR="00333E85" w:rsidRPr="00621720" w:rsidRDefault="003A6FAA" w:rsidP="00333E85">
      <w:pPr>
        <w:pStyle w:val="Normalnumber"/>
        <w:tabs>
          <w:tab w:val="clear" w:pos="1247"/>
          <w:tab w:val="clear" w:pos="1814"/>
          <w:tab w:val="clear" w:pos="2381"/>
          <w:tab w:val="clear" w:pos="2948"/>
          <w:tab w:val="clear" w:pos="3515"/>
          <w:tab w:val="left" w:pos="624"/>
        </w:tabs>
        <w:ind w:left="1247"/>
      </w:pPr>
      <w:r w:rsidRPr="00621720">
        <w:t>In closing, she</w:t>
      </w:r>
      <w:r w:rsidR="00333E85" w:rsidRPr="00621720">
        <w:t xml:space="preserve"> encourag</w:t>
      </w:r>
      <w:r w:rsidRPr="00621720">
        <w:t>ed</w:t>
      </w:r>
      <w:r w:rsidR="00333E85" w:rsidRPr="00621720">
        <w:t xml:space="preserve"> parties to focus on implementation, particularly in relation to illegal trade, servicing capacity and access to affordable, efficient cooling for the people who needed it most, to endorse the “Kigali +10 </w:t>
      </w:r>
      <w:r w:rsidR="00E33449" w:rsidRPr="00621720">
        <w:t>D</w:t>
      </w:r>
      <w:r w:rsidR="00333E85" w:rsidRPr="00621720">
        <w:t xml:space="preserve">eclaration to </w:t>
      </w:r>
      <w:r w:rsidR="00E33449" w:rsidRPr="00621720">
        <w:t>Ad</w:t>
      </w:r>
      <w:r w:rsidR="00333E85" w:rsidRPr="00621720">
        <w:t xml:space="preserve">vance </w:t>
      </w:r>
      <w:r w:rsidR="00E33449" w:rsidRPr="00621720">
        <w:t>G</w:t>
      </w:r>
      <w:r w:rsidR="00333E85" w:rsidRPr="00621720">
        <w:t xml:space="preserve">lobal </w:t>
      </w:r>
      <w:r w:rsidR="00E33449" w:rsidRPr="00621720">
        <w:t>A</w:t>
      </w:r>
      <w:r w:rsidR="00333E85" w:rsidRPr="00621720">
        <w:t xml:space="preserve">tmospheric </w:t>
      </w:r>
      <w:r w:rsidR="00E33449" w:rsidRPr="00621720">
        <w:t>P</w:t>
      </w:r>
      <w:r w:rsidR="00333E85" w:rsidRPr="00621720">
        <w:t>rotection</w:t>
      </w:r>
      <w:r w:rsidR="00E33449" w:rsidRPr="00621720">
        <w:t>”</w:t>
      </w:r>
      <w:r w:rsidR="00333E85" w:rsidRPr="00621720">
        <w:t xml:space="preserve">, and to join the Friends of the Kigali Amendment. A decade earlier, in Kigali, parties had set out to make history and strengthen confidence in the ability to tackle urgent global problems; she urged every party to ensure that they returned home from the current meeting with the same resolve for the next decade. </w:t>
      </w:r>
    </w:p>
    <w:p w14:paraId="6AB66240" w14:textId="77777777" w:rsidR="005B2239" w:rsidRPr="00621720" w:rsidRDefault="005B2239" w:rsidP="005B2239">
      <w:pPr>
        <w:pStyle w:val="CH1"/>
        <w:keepNext w:val="0"/>
        <w:keepLines w:val="0"/>
      </w:pPr>
      <w:r w:rsidRPr="00621720">
        <w:tab/>
        <w:t>II.</w:t>
      </w:r>
      <w:r w:rsidRPr="00621720">
        <w:tab/>
        <w:t>Organizational matters</w:t>
      </w:r>
    </w:p>
    <w:p w14:paraId="4F8B2554" w14:textId="2823E045" w:rsidR="00CF2EE5" w:rsidRPr="00621720" w:rsidRDefault="00CF2EE5">
      <w:pPr>
        <w:pStyle w:val="CH2"/>
        <w:numPr>
          <w:ilvl w:val="0"/>
          <w:numId w:val="24"/>
        </w:numPr>
      </w:pPr>
      <w:r w:rsidRPr="00621720">
        <w:t>Attendance</w:t>
      </w:r>
    </w:p>
    <w:p w14:paraId="16224467" w14:textId="2C787304" w:rsidR="00CF2EE5" w:rsidRPr="00621720" w:rsidRDefault="00CF2EE5" w:rsidP="00CF2EE5">
      <w:pPr>
        <w:pStyle w:val="Normalnumber"/>
        <w:tabs>
          <w:tab w:val="clear" w:pos="1247"/>
          <w:tab w:val="clear" w:pos="1814"/>
          <w:tab w:val="clear" w:pos="2381"/>
          <w:tab w:val="clear" w:pos="2948"/>
          <w:tab w:val="clear" w:pos="3515"/>
          <w:tab w:val="left" w:pos="624"/>
        </w:tabs>
        <w:ind w:left="1247"/>
      </w:pPr>
      <w:r w:rsidRPr="00621720">
        <w:t xml:space="preserve">The </w:t>
      </w:r>
      <w:r w:rsidRPr="00621720">
        <w:rPr>
          <w:rFonts w:ascii="Times" w:hAnsi="Times" w:cs="Times"/>
          <w:color w:val="000000"/>
        </w:rPr>
        <w:t>following</w:t>
      </w:r>
      <w:r w:rsidRPr="00621720">
        <w:t xml:space="preserve"> parties to the Montreal Protocol were represented: [to be completed]</w:t>
      </w:r>
    </w:p>
    <w:p w14:paraId="3BA6DDCA" w14:textId="639B12A4" w:rsidR="00CF2EE5" w:rsidRPr="00621720" w:rsidRDefault="00CF2EE5" w:rsidP="00CF2EE5">
      <w:pPr>
        <w:pStyle w:val="Normalnumber"/>
        <w:tabs>
          <w:tab w:val="clear" w:pos="1247"/>
          <w:tab w:val="clear" w:pos="1814"/>
          <w:tab w:val="clear" w:pos="2381"/>
          <w:tab w:val="clear" w:pos="2948"/>
          <w:tab w:val="clear" w:pos="3515"/>
          <w:tab w:val="left" w:pos="624"/>
        </w:tabs>
        <w:ind w:left="1247"/>
      </w:pPr>
      <w:r w:rsidRPr="00621720">
        <w:t>The following United Nations bodies and specialized agencies were represented: [to be completed]</w:t>
      </w:r>
    </w:p>
    <w:p w14:paraId="0B9754F8" w14:textId="4DAA8602" w:rsidR="00CF2EE5" w:rsidRPr="00621720" w:rsidRDefault="00CF2EE5" w:rsidP="00CF2EE5">
      <w:pPr>
        <w:pStyle w:val="Normalnumber"/>
        <w:tabs>
          <w:tab w:val="clear" w:pos="1247"/>
          <w:tab w:val="clear" w:pos="1814"/>
          <w:tab w:val="clear" w:pos="2381"/>
          <w:tab w:val="clear" w:pos="2948"/>
          <w:tab w:val="clear" w:pos="3515"/>
          <w:tab w:val="left" w:pos="624"/>
        </w:tabs>
        <w:ind w:left="1247"/>
      </w:pPr>
      <w:r w:rsidRPr="00621720">
        <w:t>The following intergovernmental, non-governmental, industry, academic and other bodies were also represented: [to be completed]</w:t>
      </w:r>
    </w:p>
    <w:p w14:paraId="5A4720F1" w14:textId="1EE197D9" w:rsidR="005B2239" w:rsidRPr="00621720" w:rsidRDefault="005B2239">
      <w:pPr>
        <w:pStyle w:val="CH2"/>
        <w:numPr>
          <w:ilvl w:val="0"/>
          <w:numId w:val="24"/>
        </w:numPr>
        <w:tabs>
          <w:tab w:val="clear" w:pos="851"/>
        </w:tabs>
      </w:pPr>
      <w:r w:rsidRPr="00621720">
        <w:t>Adoption of the agenda of the preparatory segment</w:t>
      </w:r>
    </w:p>
    <w:p w14:paraId="4B9EEAC6" w14:textId="4737A19A" w:rsidR="00FE22F3" w:rsidRPr="00621720" w:rsidRDefault="00CF2EE5" w:rsidP="009D30D7">
      <w:pPr>
        <w:pStyle w:val="Normalnumber"/>
        <w:tabs>
          <w:tab w:val="clear" w:pos="1247"/>
          <w:tab w:val="clear" w:pos="1814"/>
          <w:tab w:val="clear" w:pos="2381"/>
          <w:tab w:val="clear" w:pos="2948"/>
          <w:tab w:val="clear" w:pos="3515"/>
          <w:tab w:val="left" w:pos="624"/>
        </w:tabs>
        <w:ind w:left="1247"/>
      </w:pPr>
      <w:r w:rsidRPr="00621720">
        <w:t>Introducing the provisional agenda for the preparatory segment</w:t>
      </w:r>
      <w:r w:rsidR="00755749" w:rsidRPr="00621720">
        <w:t>,</w:t>
      </w:r>
      <w:r w:rsidRPr="00621720">
        <w:t xml:space="preserve"> set out in document UNEP/OzL.Pro.38/1, the Co-Chair reported that the Secretariat had been notified that the State of Palestine wished to defer consideration of the agenda item </w:t>
      </w:r>
      <w:r w:rsidR="00A46B67" w:rsidRPr="00621720">
        <w:t xml:space="preserve">entitled “Classification of the State of Palestine as a party operating under paragraph 1 of Article 5 of the Montreal Protocol and access to support from the Multilateral Fund” to </w:t>
      </w:r>
      <w:r w:rsidR="00FE22F3" w:rsidRPr="00621720">
        <w:t>the Thirty-Ninth Meeting of the Parties</w:t>
      </w:r>
      <w:r w:rsidR="00A46B67" w:rsidRPr="00621720">
        <w:t xml:space="preserve">. </w:t>
      </w:r>
    </w:p>
    <w:p w14:paraId="0EFCC828" w14:textId="15B15DBE" w:rsidR="009D30D7" w:rsidRPr="00621720" w:rsidRDefault="00FE22F3" w:rsidP="009D30D7">
      <w:pPr>
        <w:pStyle w:val="Normalnumber"/>
        <w:tabs>
          <w:tab w:val="clear" w:pos="1247"/>
          <w:tab w:val="clear" w:pos="1814"/>
          <w:tab w:val="clear" w:pos="2381"/>
          <w:tab w:val="clear" w:pos="2948"/>
          <w:tab w:val="clear" w:pos="3515"/>
          <w:tab w:val="left" w:pos="624"/>
        </w:tabs>
        <w:ind w:left="1247"/>
      </w:pPr>
      <w:r w:rsidRPr="00621720">
        <w:t xml:space="preserve">The representative of the State of Palestine said that </w:t>
      </w:r>
      <w:r w:rsidR="00E84DCD" w:rsidRPr="00621720">
        <w:t xml:space="preserve">his delegation had requested the deferral of the agenda item to allow additional time to complete preparations and consultations </w:t>
      </w:r>
      <w:proofErr w:type="gramStart"/>
      <w:r w:rsidR="00E84DCD" w:rsidRPr="00621720">
        <w:t>in order to</w:t>
      </w:r>
      <w:proofErr w:type="gramEnd"/>
      <w:r w:rsidR="00E84DCD" w:rsidRPr="00621720">
        <w:t xml:space="preserve"> achieve consensus on the matter.</w:t>
      </w:r>
      <w:r w:rsidR="00CF2EE5" w:rsidRPr="00621720">
        <w:t xml:space="preserve"> </w:t>
      </w:r>
      <w:r w:rsidR="00E84DCD" w:rsidRPr="00621720">
        <w:t xml:space="preserve">He reiterated his party’s commitment to ratifying the amendments to </w:t>
      </w:r>
      <w:r w:rsidR="00E84DCD" w:rsidRPr="00621720">
        <w:lastRenderedPageBreak/>
        <w:t>the Montreal Protocol and fulfilling its obligations under the Protocol</w:t>
      </w:r>
      <w:r w:rsidR="0091514E" w:rsidRPr="00621720">
        <w:t xml:space="preserve"> despite ongoing challenges in the country</w:t>
      </w:r>
      <w:r w:rsidR="00E84DCD" w:rsidRPr="00621720">
        <w:t>.</w:t>
      </w:r>
    </w:p>
    <w:p w14:paraId="3468DC13" w14:textId="7FFEADEC" w:rsidR="00E84DCD" w:rsidRPr="00621720" w:rsidRDefault="00E84DCD" w:rsidP="009D30D7">
      <w:pPr>
        <w:pStyle w:val="Normalnumber"/>
        <w:tabs>
          <w:tab w:val="clear" w:pos="1247"/>
          <w:tab w:val="clear" w:pos="1814"/>
          <w:tab w:val="clear" w:pos="2381"/>
          <w:tab w:val="clear" w:pos="2948"/>
          <w:tab w:val="clear" w:pos="3515"/>
          <w:tab w:val="left" w:pos="624"/>
        </w:tabs>
        <w:ind w:left="1247"/>
      </w:pPr>
      <w:r w:rsidRPr="00621720">
        <w:t>Accordingly, the parties agreed to defer consideration of the item to the Thirty-Ninth Meeting of the Parties.</w:t>
      </w:r>
    </w:p>
    <w:p w14:paraId="6DA39E9E" w14:textId="3C3F7487" w:rsidR="00892128" w:rsidRPr="00621720" w:rsidRDefault="00A46B67" w:rsidP="009D30D7">
      <w:pPr>
        <w:pStyle w:val="Normalnumber"/>
        <w:tabs>
          <w:tab w:val="clear" w:pos="1247"/>
          <w:tab w:val="clear" w:pos="1814"/>
          <w:tab w:val="clear" w:pos="2381"/>
          <w:tab w:val="clear" w:pos="2948"/>
          <w:tab w:val="clear" w:pos="3515"/>
          <w:tab w:val="left" w:pos="624"/>
        </w:tabs>
        <w:ind w:left="1247"/>
      </w:pPr>
      <w:r w:rsidRPr="00621720">
        <w:t xml:space="preserve">The following agenda for the preparatory segment was adopted </w:t>
      </w:r>
      <w:proofErr w:type="gramStart"/>
      <w:r w:rsidRPr="00621720">
        <w:t>on the basis of</w:t>
      </w:r>
      <w:proofErr w:type="gramEnd"/>
      <w:r w:rsidRPr="00621720">
        <w:t xml:space="preserve"> the provisional agenda (UNEP/OzL.Pro.38</w:t>
      </w:r>
      <w:r w:rsidR="00D20749" w:rsidRPr="00621720">
        <w:t>/</w:t>
      </w:r>
      <w:r w:rsidRPr="00621720">
        <w:t>1)</w:t>
      </w:r>
      <w:r w:rsidR="0051568A" w:rsidRPr="00621720">
        <w:t>:</w:t>
      </w:r>
    </w:p>
    <w:p w14:paraId="70AACCC1"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Opening of the preparatory segment.</w:t>
      </w:r>
    </w:p>
    <w:p w14:paraId="637E0AF0"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Organizational matters:</w:t>
      </w:r>
    </w:p>
    <w:p w14:paraId="757678B8" w14:textId="77777777" w:rsidR="005B2239" w:rsidRPr="00621720" w:rsidRDefault="005B2239">
      <w:pPr>
        <w:pStyle w:val="NormalNonumber"/>
        <w:numPr>
          <w:ilvl w:val="0"/>
          <w:numId w:val="17"/>
        </w:numPr>
        <w:tabs>
          <w:tab w:val="clear" w:pos="1247"/>
          <w:tab w:val="clear" w:pos="1871"/>
          <w:tab w:val="clear" w:pos="2495"/>
          <w:tab w:val="clear" w:pos="3119"/>
          <w:tab w:val="clear" w:pos="3742"/>
          <w:tab w:val="clear" w:pos="4366"/>
          <w:tab w:val="clear" w:pos="4990"/>
        </w:tabs>
        <w:ind w:left="3119" w:hanging="624"/>
      </w:pPr>
      <w:r w:rsidRPr="00621720">
        <w:t>Adoption of the agenda of the preparatory segment;</w:t>
      </w:r>
    </w:p>
    <w:p w14:paraId="5D021B62" w14:textId="77777777" w:rsidR="005B2239" w:rsidRPr="00621720" w:rsidRDefault="005B2239">
      <w:pPr>
        <w:pStyle w:val="NormalNonumber"/>
        <w:numPr>
          <w:ilvl w:val="0"/>
          <w:numId w:val="17"/>
        </w:numPr>
        <w:tabs>
          <w:tab w:val="clear" w:pos="1247"/>
          <w:tab w:val="clear" w:pos="1871"/>
          <w:tab w:val="clear" w:pos="2495"/>
          <w:tab w:val="clear" w:pos="3119"/>
          <w:tab w:val="clear" w:pos="3742"/>
          <w:tab w:val="clear" w:pos="4366"/>
          <w:tab w:val="clear" w:pos="4990"/>
        </w:tabs>
        <w:ind w:left="3119" w:hanging="624"/>
      </w:pPr>
      <w:r w:rsidRPr="00621720">
        <w:t>Organization of work.</w:t>
      </w:r>
    </w:p>
    <w:p w14:paraId="34E17836"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Administrative matters:</w:t>
      </w:r>
    </w:p>
    <w:p w14:paraId="48CD81E3" w14:textId="77777777" w:rsidR="005B2239" w:rsidRPr="00621720" w:rsidRDefault="005B2239">
      <w:pPr>
        <w:pStyle w:val="NormalNonumber"/>
        <w:numPr>
          <w:ilvl w:val="0"/>
          <w:numId w:val="18"/>
        </w:numPr>
        <w:tabs>
          <w:tab w:val="clear" w:pos="1247"/>
          <w:tab w:val="clear" w:pos="1871"/>
          <w:tab w:val="clear" w:pos="2495"/>
          <w:tab w:val="clear" w:pos="3119"/>
          <w:tab w:val="clear" w:pos="3742"/>
          <w:tab w:val="clear" w:pos="4366"/>
          <w:tab w:val="clear" w:pos="4990"/>
        </w:tabs>
        <w:ind w:left="3119" w:hanging="624"/>
      </w:pPr>
      <w:r w:rsidRPr="00621720">
        <w:t>Budget of the Trust Fund for the Montreal Protocol and financial reports;</w:t>
      </w:r>
    </w:p>
    <w:p w14:paraId="0EFCCC3E" w14:textId="77777777" w:rsidR="005B2239" w:rsidRPr="00621720" w:rsidRDefault="005B2239">
      <w:pPr>
        <w:pStyle w:val="NormalNonumber"/>
        <w:numPr>
          <w:ilvl w:val="0"/>
          <w:numId w:val="18"/>
        </w:numPr>
        <w:tabs>
          <w:tab w:val="clear" w:pos="1247"/>
          <w:tab w:val="clear" w:pos="1871"/>
          <w:tab w:val="clear" w:pos="2495"/>
          <w:tab w:val="clear" w:pos="3119"/>
          <w:tab w:val="clear" w:pos="3742"/>
          <w:tab w:val="clear" w:pos="4366"/>
          <w:tab w:val="clear" w:pos="4990"/>
        </w:tabs>
        <w:ind w:left="3119" w:hanging="624"/>
      </w:pPr>
      <w:r w:rsidRPr="00621720">
        <w:t xml:space="preserve">Consideration of the membership of Montreal Protocol bodies for 2027: </w:t>
      </w:r>
    </w:p>
    <w:p w14:paraId="133413C8" w14:textId="77777777" w:rsidR="005B2239" w:rsidRPr="00621720" w:rsidRDefault="005B2239">
      <w:pPr>
        <w:pStyle w:val="NormalNonumber"/>
        <w:numPr>
          <w:ilvl w:val="1"/>
          <w:numId w:val="19"/>
        </w:numPr>
        <w:tabs>
          <w:tab w:val="clear" w:pos="1247"/>
          <w:tab w:val="clear" w:pos="1871"/>
          <w:tab w:val="clear" w:pos="2495"/>
          <w:tab w:val="clear" w:pos="3119"/>
          <w:tab w:val="clear" w:pos="3742"/>
          <w:tab w:val="clear" w:pos="4366"/>
          <w:tab w:val="clear" w:pos="4990"/>
        </w:tabs>
        <w:ind w:left="3743" w:hanging="624"/>
      </w:pPr>
      <w:r w:rsidRPr="00621720">
        <w:t>Members of the Implementation Committee under the Non-Compliance Procedure for the Montreal Protocol;</w:t>
      </w:r>
    </w:p>
    <w:p w14:paraId="4FE7AE68" w14:textId="77777777" w:rsidR="005B2239" w:rsidRPr="00621720" w:rsidRDefault="005B2239">
      <w:pPr>
        <w:pStyle w:val="NormalNonumber"/>
        <w:numPr>
          <w:ilvl w:val="1"/>
          <w:numId w:val="19"/>
        </w:numPr>
        <w:tabs>
          <w:tab w:val="clear" w:pos="1247"/>
          <w:tab w:val="clear" w:pos="1871"/>
          <w:tab w:val="clear" w:pos="2495"/>
          <w:tab w:val="clear" w:pos="3119"/>
          <w:tab w:val="clear" w:pos="3742"/>
          <w:tab w:val="clear" w:pos="4366"/>
          <w:tab w:val="clear" w:pos="4990"/>
        </w:tabs>
        <w:ind w:left="3743" w:hanging="624"/>
      </w:pPr>
      <w:r w:rsidRPr="00621720">
        <w:t>Members of the Executive Committee of the Multilateral Fund for the Implementation of the Montreal Protocol;</w:t>
      </w:r>
    </w:p>
    <w:p w14:paraId="061AA1F4" w14:textId="77777777" w:rsidR="005B2239" w:rsidRPr="00621720" w:rsidRDefault="005B2239">
      <w:pPr>
        <w:pStyle w:val="NormalNonumber"/>
        <w:numPr>
          <w:ilvl w:val="1"/>
          <w:numId w:val="19"/>
        </w:numPr>
        <w:tabs>
          <w:tab w:val="clear" w:pos="1247"/>
          <w:tab w:val="clear" w:pos="1871"/>
          <w:tab w:val="clear" w:pos="2495"/>
          <w:tab w:val="clear" w:pos="3119"/>
          <w:tab w:val="clear" w:pos="3742"/>
          <w:tab w:val="clear" w:pos="4366"/>
          <w:tab w:val="clear" w:pos="4990"/>
        </w:tabs>
        <w:ind w:left="3743" w:hanging="624"/>
      </w:pPr>
      <w:r w:rsidRPr="00621720">
        <w:t>Co-Chairs of the Open-ended Working Group.</w:t>
      </w:r>
    </w:p>
    <w:p w14:paraId="46C3BCC5"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Replenishment of the Multilateral Fund for the Implementation of the Montreal Protocol for the triennium 2027–2029:</w:t>
      </w:r>
    </w:p>
    <w:p w14:paraId="5E2DB512" w14:textId="77777777" w:rsidR="005B2239" w:rsidRPr="00621720" w:rsidRDefault="005B2239">
      <w:pPr>
        <w:numPr>
          <w:ilvl w:val="0"/>
          <w:numId w:val="21"/>
        </w:numPr>
        <w:tabs>
          <w:tab w:val="clear" w:pos="1247"/>
          <w:tab w:val="clear" w:pos="1814"/>
          <w:tab w:val="clear" w:pos="2381"/>
          <w:tab w:val="clear" w:pos="2948"/>
          <w:tab w:val="clear" w:pos="3515"/>
          <w:tab w:val="left" w:pos="624"/>
        </w:tabs>
        <w:spacing w:after="120"/>
        <w:ind w:left="3119" w:hanging="624"/>
      </w:pPr>
      <w:r w:rsidRPr="00621720">
        <w:t>Supplementary report of the Technology and Economic Assessment Panel replenishment task force;</w:t>
      </w:r>
    </w:p>
    <w:p w14:paraId="1A8855C6" w14:textId="77777777" w:rsidR="005B2239" w:rsidRPr="00621720" w:rsidRDefault="005B2239">
      <w:pPr>
        <w:numPr>
          <w:ilvl w:val="0"/>
          <w:numId w:val="21"/>
        </w:numPr>
        <w:tabs>
          <w:tab w:val="clear" w:pos="1247"/>
          <w:tab w:val="clear" w:pos="1814"/>
          <w:tab w:val="clear" w:pos="2381"/>
          <w:tab w:val="clear" w:pos="2948"/>
          <w:tab w:val="clear" w:pos="3515"/>
          <w:tab w:val="left" w:pos="624"/>
        </w:tabs>
        <w:spacing w:after="120"/>
        <w:ind w:left="3119" w:hanging="624"/>
      </w:pPr>
      <w:r w:rsidRPr="00621720">
        <w:t>Extension of the fixed-exchange-rate mechanism for the triennium 2027–2029.</w:t>
      </w:r>
    </w:p>
    <w:p w14:paraId="7B4F456C"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 xml:space="preserve">Further strengthening Montreal Protocol institutions (UNEP/OzL.Pro.37/9, para. 166). </w:t>
      </w:r>
    </w:p>
    <w:p w14:paraId="2B273ECA"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Ensuring the viability of Montreal Protocol operations (decision XXXVII/7).</w:t>
      </w:r>
    </w:p>
    <w:p w14:paraId="1BA09D48"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Emissions of hydrofluorocarbon-23 (HFC-23) (decision XXXVII/2).</w:t>
      </w:r>
    </w:p>
    <w:p w14:paraId="7BBE9B16"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Enhancing regional atmospheric monitoring of substances controlled by the Montreal Protocol (decision XXXVII/1).</w:t>
      </w:r>
    </w:p>
    <w:p w14:paraId="5A508337"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Technology and Economic Assessment Panel organizational issues:</w:t>
      </w:r>
    </w:p>
    <w:p w14:paraId="5DC6C84B" w14:textId="77777777" w:rsidR="005B2239" w:rsidRPr="00621720" w:rsidRDefault="005B2239">
      <w:pPr>
        <w:pStyle w:val="NormalNonumber"/>
        <w:numPr>
          <w:ilvl w:val="0"/>
          <w:numId w:val="20"/>
        </w:numPr>
        <w:tabs>
          <w:tab w:val="clear" w:pos="1247"/>
          <w:tab w:val="clear" w:pos="1871"/>
          <w:tab w:val="clear" w:pos="2495"/>
          <w:tab w:val="clear" w:pos="3119"/>
          <w:tab w:val="clear" w:pos="3742"/>
          <w:tab w:val="clear" w:pos="4366"/>
          <w:tab w:val="clear" w:pos="4990"/>
        </w:tabs>
        <w:ind w:left="3119" w:hanging="624"/>
      </w:pPr>
      <w:r w:rsidRPr="00621720">
        <w:t>Options for the organization of the Technology and Economic Assessment Panel and its technical options committees (decision XXXV/20);</w:t>
      </w:r>
    </w:p>
    <w:p w14:paraId="2DFED3FE" w14:textId="77777777" w:rsidR="005B2239" w:rsidRPr="00621720" w:rsidRDefault="005B2239">
      <w:pPr>
        <w:pStyle w:val="NormalNonumber"/>
        <w:numPr>
          <w:ilvl w:val="0"/>
          <w:numId w:val="20"/>
        </w:numPr>
        <w:tabs>
          <w:tab w:val="clear" w:pos="1247"/>
          <w:tab w:val="clear" w:pos="1871"/>
          <w:tab w:val="clear" w:pos="2495"/>
          <w:tab w:val="clear" w:pos="3119"/>
          <w:tab w:val="clear" w:pos="3742"/>
          <w:tab w:val="clear" w:pos="4366"/>
          <w:tab w:val="clear" w:pos="4990"/>
        </w:tabs>
        <w:ind w:left="3119" w:hanging="624"/>
      </w:pPr>
      <w:r w:rsidRPr="00621720">
        <w:t>Changes in the membership of the Technology and Economic Assessment Panel.</w:t>
      </w:r>
    </w:p>
    <w:p w14:paraId="24177C96"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Compliance and data reporting issues: work and recommendations of the Implementation Committee.</w:t>
      </w:r>
    </w:p>
    <w:p w14:paraId="34133AA5"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Implementation of paragraphs 2 and 4 of Article 2J of the Montreal Protocol in respect of Azerbaijan.</w:t>
      </w:r>
    </w:p>
    <w:p w14:paraId="60BD8F9A"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Participation of the Central Asian States in the Group of Eastern European States.</w:t>
      </w:r>
    </w:p>
    <w:p w14:paraId="64EDEF44" w14:textId="77777777" w:rsidR="005B2239" w:rsidRPr="00621720" w:rsidRDefault="005B2239" w:rsidP="009D30D7">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Status of ratification of the Kigali Amendment.</w:t>
      </w:r>
    </w:p>
    <w:p w14:paraId="4C23A2EE" w14:textId="77777777" w:rsidR="0051568A" w:rsidRPr="00621720" w:rsidRDefault="005B2239" w:rsidP="0091514E">
      <w:pPr>
        <w:pStyle w:val="NormalNonumber"/>
        <w:numPr>
          <w:ilvl w:val="0"/>
          <w:numId w:val="16"/>
        </w:numPr>
        <w:tabs>
          <w:tab w:val="clear" w:pos="1247"/>
          <w:tab w:val="clear" w:pos="1871"/>
          <w:tab w:val="clear" w:pos="2495"/>
          <w:tab w:val="clear" w:pos="3119"/>
          <w:tab w:val="clear" w:pos="3742"/>
          <w:tab w:val="clear" w:pos="4366"/>
          <w:tab w:val="clear" w:pos="4990"/>
        </w:tabs>
        <w:ind w:left="2495" w:hanging="624"/>
      </w:pPr>
      <w:r w:rsidRPr="00621720">
        <w:t>Other matters.</w:t>
      </w:r>
    </w:p>
    <w:p w14:paraId="39496A9F" w14:textId="362CC256" w:rsidR="009426AA" w:rsidRPr="00621720" w:rsidRDefault="009426AA">
      <w:pPr>
        <w:pStyle w:val="CH2"/>
        <w:numPr>
          <w:ilvl w:val="0"/>
          <w:numId w:val="24"/>
        </w:numPr>
        <w:tabs>
          <w:tab w:val="clear" w:pos="851"/>
        </w:tabs>
        <w:rPr>
          <w:bCs/>
        </w:rPr>
      </w:pPr>
      <w:r w:rsidRPr="00621720">
        <w:rPr>
          <w:bCs/>
        </w:rPr>
        <w:t>Organization of work</w:t>
      </w:r>
    </w:p>
    <w:p w14:paraId="71206A43" w14:textId="4A0E07E1" w:rsidR="009426AA" w:rsidRPr="00621720" w:rsidRDefault="00A46B67" w:rsidP="00DA1CA7">
      <w:pPr>
        <w:pStyle w:val="Normalnumber"/>
        <w:tabs>
          <w:tab w:val="clear" w:pos="1247"/>
          <w:tab w:val="clear" w:pos="1814"/>
          <w:tab w:val="clear" w:pos="2381"/>
          <w:tab w:val="clear" w:pos="2948"/>
          <w:tab w:val="clear" w:pos="3515"/>
          <w:tab w:val="left" w:pos="624"/>
        </w:tabs>
        <w:ind w:left="1247"/>
      </w:pPr>
      <w:r w:rsidRPr="00621720">
        <w:t>The parties agreed to follow their customary procedure and to establish contact or informal groups as necessary and to avoid, to the extent possible, the holding of meetings of contact or informal groups in parallel with each other.</w:t>
      </w:r>
    </w:p>
    <w:p w14:paraId="4A889ABD" w14:textId="7D396EF0" w:rsidR="009426AA" w:rsidRPr="00621720" w:rsidRDefault="009426AA" w:rsidP="009426AA">
      <w:pPr>
        <w:pStyle w:val="CH1"/>
      </w:pPr>
      <w:r w:rsidRPr="00621720">
        <w:lastRenderedPageBreak/>
        <w:tab/>
        <w:t>III.</w:t>
      </w:r>
      <w:r w:rsidRPr="00621720">
        <w:tab/>
        <w:t>Administrative matters</w:t>
      </w:r>
    </w:p>
    <w:p w14:paraId="75A51DE6" w14:textId="6AA60D99" w:rsidR="009426AA" w:rsidRPr="00621720" w:rsidRDefault="009426AA">
      <w:pPr>
        <w:pStyle w:val="CH2"/>
        <w:numPr>
          <w:ilvl w:val="0"/>
          <w:numId w:val="22"/>
        </w:numPr>
      </w:pPr>
      <w:r w:rsidRPr="00621720">
        <w:t>Budget of the Trust Fund for the Montreal Protocol and financial reports</w:t>
      </w:r>
    </w:p>
    <w:p w14:paraId="57F634DE" w14:textId="329D266F" w:rsidR="002C6F25" w:rsidRPr="00621720" w:rsidRDefault="00A46B67" w:rsidP="003105CE">
      <w:pPr>
        <w:pStyle w:val="Normalnumber"/>
        <w:tabs>
          <w:tab w:val="clear" w:pos="1247"/>
          <w:tab w:val="clear" w:pos="1814"/>
          <w:tab w:val="clear" w:pos="2381"/>
          <w:tab w:val="clear" w:pos="2948"/>
          <w:tab w:val="clear" w:pos="3515"/>
          <w:tab w:val="left" w:pos="624"/>
        </w:tabs>
        <w:ind w:left="1247"/>
      </w:pPr>
      <w:r w:rsidRPr="00621720">
        <w:t xml:space="preserve">Introducing the </w:t>
      </w:r>
      <w:r w:rsidR="0051568A" w:rsidRPr="00621720">
        <w:t>sub-</w:t>
      </w:r>
      <w:r w:rsidRPr="00621720">
        <w:t xml:space="preserve">item, the Co-Chair drew attention to the information set out in paragraphs </w:t>
      </w:r>
      <w:r w:rsidR="00333E85" w:rsidRPr="00621720">
        <w:t>11–17</w:t>
      </w:r>
      <w:r w:rsidRPr="00621720">
        <w:t xml:space="preserve"> of the note by the Secretariat on issues for discussion by and information for the attention of the Thirty-Eighth Meeting of the Parties (UNEP/OzL.Pro.38/2); </w:t>
      </w:r>
      <w:r w:rsidR="00947BD6" w:rsidRPr="00621720">
        <w:t xml:space="preserve">the </w:t>
      </w:r>
      <w:r w:rsidRPr="00621720">
        <w:t xml:space="preserve">note by the Secretariat on the </w:t>
      </w:r>
      <w:r w:rsidRPr="00621720">
        <w:rPr>
          <w:rFonts w:ascii="Times" w:hAnsi="Times" w:cs="Times"/>
          <w:color w:val="000000"/>
        </w:rPr>
        <w:t>proposed</w:t>
      </w:r>
      <w:r w:rsidRPr="00621720">
        <w:t xml:space="preserve"> budgets for </w:t>
      </w:r>
      <w:r w:rsidR="002C6F25" w:rsidRPr="00621720">
        <w:t xml:space="preserve">2027 and 2028 of the Trust Fund for the Montreal Protocol on Substances that Deplete the Ozone Layer </w:t>
      </w:r>
      <w:r w:rsidR="006E2002" w:rsidRPr="00621720">
        <w:t xml:space="preserve">and the addendum thereto </w:t>
      </w:r>
      <w:r w:rsidR="002C6F25" w:rsidRPr="00621720">
        <w:t>(UNEP/OzL.Pro.38/4 and UNEP/OzL.Pro.38/4/Add.1)</w:t>
      </w:r>
      <w:r w:rsidR="006E2002" w:rsidRPr="00621720">
        <w:t>;</w:t>
      </w:r>
      <w:r w:rsidR="002C6F25" w:rsidRPr="00621720">
        <w:t xml:space="preserve"> and </w:t>
      </w:r>
      <w:r w:rsidR="006E2002" w:rsidRPr="00621720">
        <w:t xml:space="preserve">the note by the Secretariat </w:t>
      </w:r>
      <w:r w:rsidR="002C6F25" w:rsidRPr="00621720">
        <w:t xml:space="preserve">on the financial report for the trust funds for the Vienna Convention for the Protection of the Ozone Layer and the Montreal Protocol on Substances that Deplete the Ozone Layer for the fiscal year 2025 (UNEP/OzL.Pro.38/5). She also drew attention to </w:t>
      </w:r>
      <w:r w:rsidR="007A2959" w:rsidRPr="00621720">
        <w:t xml:space="preserve">the </w:t>
      </w:r>
      <w:r w:rsidR="002C6F25" w:rsidRPr="00621720">
        <w:t>notes by the Secretariat entitled “Approved budget for 2027 of the Trust Fund for the Vienna Convention for the Protection of the Ozone Layer and proposed budgets for 2027 of the Trust Fund for the Montreal Protocol on Substances that Deplete the Ozone Layer: fact sheets” (UNEP/OzL.Pro.38/INF/1) and “Financial report for the trust funds for the Vienna Convention for the Protection of the Ozone Layer and for the Montreal Protocol on Substances that Deplete the Ozone Layer: updated indicative financial report for 2026 as at 30 September 2026” (UNEP/OzL.Pro.38/INF/2). A draft decision on the matter was set out in document UNEP/OzL.Pro.38/3 (draft decision XXXVIII/[A</w:t>
      </w:r>
      <w:r w:rsidR="00333E85" w:rsidRPr="00621720">
        <w:t>A</w:t>
      </w:r>
      <w:r w:rsidR="002C6F25" w:rsidRPr="00621720">
        <w:t>A]). Documents UNEP/OzL.Pro.38/4, UNEP/OzL.Pro.38/5 and UNEP/OzL.Pro.38/INF/1 had been posted on the meeting portal three months prior to the current meeting for review by the parties</w:t>
      </w:r>
      <w:r w:rsidR="00333E85" w:rsidRPr="00621720">
        <w:t>, and documents UNEP/OzL.Pro.38/4/Add.1 and UNEP/OzL.Pro.38/INF/2 had been made available in October 2026.</w:t>
      </w:r>
    </w:p>
    <w:p w14:paraId="694D237F" w14:textId="27F73536" w:rsidR="009426AA" w:rsidRPr="00621720" w:rsidRDefault="002C6F25" w:rsidP="00DA1CA7">
      <w:pPr>
        <w:pStyle w:val="Normalnumber"/>
        <w:tabs>
          <w:tab w:val="clear" w:pos="1247"/>
          <w:tab w:val="clear" w:pos="1814"/>
          <w:tab w:val="clear" w:pos="2381"/>
          <w:tab w:val="clear" w:pos="2948"/>
          <w:tab w:val="clear" w:pos="3515"/>
          <w:tab w:val="left" w:pos="624"/>
        </w:tabs>
        <w:ind w:left="1247"/>
      </w:pPr>
      <w:r w:rsidRPr="00621720">
        <w:t xml:space="preserve">The parties agreed to follow their standard practice and established a budget committee to review the proposed budget for the Trust Fund for the Montreal Protocol and the financial reports for the Vienna Convention and Montreal Protocol trust funds and to prepare a draft decision for consideration by the parties. It was decided that the committee’s work would be co-facilitated by </w:t>
      </w:r>
      <w:r w:rsidR="00F01658" w:rsidRPr="00621720">
        <w:t>Sebastian Schnatz (Germany)</w:t>
      </w:r>
      <w:r w:rsidR="003105CE" w:rsidRPr="00621720">
        <w:t xml:space="preserve"> and </w:t>
      </w:r>
      <w:r w:rsidR="00F01658" w:rsidRPr="00621720">
        <w:t xml:space="preserve">Ryan Ooi Chean </w:t>
      </w:r>
      <w:proofErr w:type="spellStart"/>
      <w:r w:rsidR="00F01658" w:rsidRPr="00621720">
        <w:t>Weai</w:t>
      </w:r>
      <w:proofErr w:type="spellEnd"/>
      <w:r w:rsidR="00F01658" w:rsidRPr="00621720">
        <w:t xml:space="preserve"> </w:t>
      </w:r>
      <w:r w:rsidR="003105CE" w:rsidRPr="00621720">
        <w:t>(</w:t>
      </w:r>
      <w:r w:rsidR="00F01658" w:rsidRPr="00621720">
        <w:t>Malaysia</w:t>
      </w:r>
      <w:r w:rsidR="003105CE" w:rsidRPr="00621720">
        <w:t>).</w:t>
      </w:r>
    </w:p>
    <w:p w14:paraId="18FC4740" w14:textId="7EA9AFE1" w:rsidR="009426AA" w:rsidRPr="00621720" w:rsidRDefault="003105CE" w:rsidP="00DA1CA7">
      <w:pPr>
        <w:pStyle w:val="Normalnumber"/>
        <w:tabs>
          <w:tab w:val="clear" w:pos="1247"/>
          <w:tab w:val="clear" w:pos="1814"/>
          <w:tab w:val="clear" w:pos="2381"/>
          <w:tab w:val="clear" w:pos="2948"/>
          <w:tab w:val="clear" w:pos="3515"/>
          <w:tab w:val="left" w:pos="624"/>
        </w:tabs>
        <w:ind w:left="1247"/>
      </w:pPr>
      <w:r w:rsidRPr="00621720">
        <w:t>[to be completed]</w:t>
      </w:r>
    </w:p>
    <w:p w14:paraId="5A78E735" w14:textId="749B49E0" w:rsidR="009426AA" w:rsidRPr="00621720" w:rsidRDefault="009426AA" w:rsidP="009426AA">
      <w:pPr>
        <w:pStyle w:val="CH2"/>
      </w:pPr>
      <w:r w:rsidRPr="00621720">
        <w:tab/>
        <w:t>B.</w:t>
      </w:r>
      <w:r w:rsidRPr="00621720">
        <w:tab/>
        <w:t>Consideration of the membership of Montreal Protocol bodies for 2027</w:t>
      </w:r>
    </w:p>
    <w:p w14:paraId="6B4AB065" w14:textId="7D8FB816" w:rsidR="009426AA" w:rsidRPr="00621720" w:rsidRDefault="009426AA" w:rsidP="009426AA">
      <w:pPr>
        <w:pStyle w:val="CH3"/>
      </w:pPr>
      <w:r w:rsidRPr="00621720">
        <w:tab/>
        <w:t>1.</w:t>
      </w:r>
      <w:r w:rsidRPr="00621720">
        <w:tab/>
        <w:t>Members of the Implementation Committee under the Non-Compliance Procedure for the Montreal Protocol</w:t>
      </w:r>
    </w:p>
    <w:p w14:paraId="5929D92C" w14:textId="07DB3F15" w:rsidR="003105CE" w:rsidRPr="00621720" w:rsidRDefault="003105CE" w:rsidP="003105CE">
      <w:pPr>
        <w:pStyle w:val="Normalnumber"/>
        <w:tabs>
          <w:tab w:val="clear" w:pos="1247"/>
          <w:tab w:val="clear" w:pos="1814"/>
          <w:tab w:val="clear" w:pos="2381"/>
          <w:tab w:val="clear" w:pos="2948"/>
          <w:tab w:val="clear" w:pos="3515"/>
          <w:tab w:val="left" w:pos="624"/>
        </w:tabs>
        <w:ind w:left="1247"/>
      </w:pPr>
      <w:r w:rsidRPr="00621720">
        <w:t>Introducing the sub-item, the Co-Chair said that the parties needed to decide on the membership of the Implementation Committee for 2027. Information on the positions to be filled was presented in paragraphs 18 to 21 of document UNEP/OzL.Pro.38/2 and a draft decision on the matter was set out in document UNEP/OzL.Pro.38/3 (draft decision XXXVIII/[DDD]</w:t>
      </w:r>
      <w:r w:rsidR="00A33538" w:rsidRPr="00621720">
        <w:t>)</w:t>
      </w:r>
      <w:r w:rsidRPr="00621720">
        <w:t xml:space="preserve">. </w:t>
      </w:r>
    </w:p>
    <w:p w14:paraId="65567F75" w14:textId="36E3339B" w:rsidR="00CB5DB5" w:rsidRPr="00621720" w:rsidRDefault="00C8190C" w:rsidP="00DA1CA7">
      <w:pPr>
        <w:pStyle w:val="Normalnumber"/>
        <w:tabs>
          <w:tab w:val="clear" w:pos="1247"/>
          <w:tab w:val="clear" w:pos="1814"/>
          <w:tab w:val="clear" w:pos="2381"/>
          <w:tab w:val="clear" w:pos="2948"/>
          <w:tab w:val="clear" w:pos="3515"/>
          <w:tab w:val="left" w:pos="624"/>
        </w:tabs>
        <w:ind w:left="1247"/>
      </w:pPr>
      <w:r w:rsidRPr="00621720">
        <w:t>[to be completed]</w:t>
      </w:r>
    </w:p>
    <w:p w14:paraId="2B5E1239" w14:textId="2973CB51" w:rsidR="009426AA" w:rsidRPr="00621720" w:rsidRDefault="009426AA" w:rsidP="009426AA">
      <w:pPr>
        <w:pStyle w:val="CH3"/>
      </w:pPr>
      <w:r w:rsidRPr="00621720">
        <w:tab/>
        <w:t>2.</w:t>
      </w:r>
      <w:r w:rsidRPr="00621720">
        <w:tab/>
        <w:t>Members of the Executive Committee of the Multilateral Fund for the Implementation of the Montreal Protocol</w:t>
      </w:r>
    </w:p>
    <w:p w14:paraId="4E023CD3" w14:textId="7BBC640B" w:rsidR="008B0CE9" w:rsidRPr="00621720" w:rsidRDefault="008B0CE9" w:rsidP="008B0CE9">
      <w:pPr>
        <w:pStyle w:val="Normalnumber"/>
        <w:tabs>
          <w:tab w:val="clear" w:pos="1247"/>
          <w:tab w:val="clear" w:pos="1814"/>
          <w:tab w:val="clear" w:pos="2381"/>
          <w:tab w:val="clear" w:pos="2948"/>
          <w:tab w:val="clear" w:pos="3515"/>
          <w:tab w:val="left" w:pos="624"/>
        </w:tabs>
        <w:ind w:left="1247"/>
      </w:pPr>
      <w:r w:rsidRPr="00621720">
        <w:t>Introducing the sub-item, the Co-Chair said that the parties needed to endorse the selection of members of the Executive Committee of the Multilateral Fund for 2026. Information on the positions to be filled was presented in paragraphs 2</w:t>
      </w:r>
      <w:r w:rsidR="00500B03" w:rsidRPr="00621720">
        <w:t>2</w:t>
      </w:r>
      <w:r w:rsidRPr="00621720">
        <w:t xml:space="preserve"> to 2</w:t>
      </w:r>
      <w:r w:rsidR="00500B03" w:rsidRPr="00621720">
        <w:t>5</w:t>
      </w:r>
      <w:r w:rsidRPr="00621720">
        <w:t xml:space="preserve"> of document UNEP/OzL.Pro.38/2 and a draft decision on the matter was set out in document UNEP/OzL.Pro.38/3 (draft decision XXXVIII/[EEE]).</w:t>
      </w:r>
    </w:p>
    <w:p w14:paraId="3666A812" w14:textId="738C1CF2" w:rsidR="00C32429" w:rsidRPr="00621720" w:rsidRDefault="00C8190C" w:rsidP="00C32429">
      <w:pPr>
        <w:pStyle w:val="Normalnumber"/>
        <w:tabs>
          <w:tab w:val="clear" w:pos="1247"/>
          <w:tab w:val="clear" w:pos="1814"/>
          <w:tab w:val="clear" w:pos="2381"/>
          <w:tab w:val="clear" w:pos="2948"/>
          <w:tab w:val="clear" w:pos="3515"/>
          <w:tab w:val="left" w:pos="624"/>
        </w:tabs>
        <w:ind w:left="1247"/>
      </w:pPr>
      <w:r w:rsidRPr="00621720">
        <w:t>[to be completed]</w:t>
      </w:r>
    </w:p>
    <w:p w14:paraId="52EDCE2D" w14:textId="1C320DA6" w:rsidR="009426AA" w:rsidRPr="00621720" w:rsidRDefault="009426AA" w:rsidP="009426AA">
      <w:pPr>
        <w:pStyle w:val="CH3"/>
      </w:pPr>
      <w:r w:rsidRPr="00621720">
        <w:tab/>
        <w:t>3.</w:t>
      </w:r>
      <w:r w:rsidRPr="00621720">
        <w:tab/>
        <w:t>Co-Chairs of the Open-ended Working Group</w:t>
      </w:r>
    </w:p>
    <w:p w14:paraId="6ACC6024" w14:textId="7419F016" w:rsidR="008B0CE9" w:rsidRPr="00621720" w:rsidRDefault="008B0CE9" w:rsidP="008B0CE9">
      <w:pPr>
        <w:pStyle w:val="Normalnumber"/>
        <w:tabs>
          <w:tab w:val="clear" w:pos="1247"/>
          <w:tab w:val="clear" w:pos="1814"/>
          <w:tab w:val="clear" w:pos="2381"/>
          <w:tab w:val="clear" w:pos="2948"/>
          <w:tab w:val="clear" w:pos="3515"/>
          <w:tab w:val="left" w:pos="624"/>
        </w:tabs>
        <w:ind w:left="1247"/>
      </w:pPr>
      <w:r w:rsidRPr="00621720">
        <w:t>Introducing the sub-item, the Co-Chair said that the parties needed to decide on the co-chairs of the Open-ended Working Group for 2027. Information on the positions to be filled was presented in paragraphs 2</w:t>
      </w:r>
      <w:r w:rsidR="00500B03" w:rsidRPr="00621720">
        <w:t>6</w:t>
      </w:r>
      <w:r w:rsidRPr="00621720">
        <w:t xml:space="preserve"> and 2</w:t>
      </w:r>
      <w:r w:rsidR="00500B03" w:rsidRPr="00621720">
        <w:t>7</w:t>
      </w:r>
      <w:r w:rsidRPr="00621720">
        <w:t xml:space="preserve"> of document UNEP/OzL.Pro.38/2 and a draft decision on the matter was set out in document UNEP/OzL.Pro.38/3 (draft decision XXXVIII/[FFF]).</w:t>
      </w:r>
    </w:p>
    <w:p w14:paraId="3339C3DE" w14:textId="613F67B9" w:rsidR="00C32429" w:rsidRPr="00621720" w:rsidRDefault="00C8190C" w:rsidP="00C32429">
      <w:pPr>
        <w:pStyle w:val="Normalnumber"/>
        <w:tabs>
          <w:tab w:val="clear" w:pos="1247"/>
          <w:tab w:val="clear" w:pos="1814"/>
          <w:tab w:val="clear" w:pos="2381"/>
          <w:tab w:val="clear" w:pos="2948"/>
          <w:tab w:val="clear" w:pos="3515"/>
          <w:tab w:val="left" w:pos="624"/>
        </w:tabs>
        <w:ind w:left="1247"/>
      </w:pPr>
      <w:r w:rsidRPr="00621720">
        <w:t>[to be completed]</w:t>
      </w:r>
    </w:p>
    <w:p w14:paraId="080B7A67" w14:textId="3515A759" w:rsidR="009426AA" w:rsidRPr="00621720" w:rsidRDefault="00CB5DB5" w:rsidP="00CB5DB5">
      <w:pPr>
        <w:pStyle w:val="CH1"/>
      </w:pPr>
      <w:r w:rsidRPr="00621720">
        <w:lastRenderedPageBreak/>
        <w:tab/>
        <w:t>IV.</w:t>
      </w:r>
      <w:r w:rsidRPr="00621720">
        <w:tab/>
      </w:r>
      <w:r w:rsidR="009426AA" w:rsidRPr="00621720">
        <w:t>Replenishment of the Multilateral Fund for the Implementation of the Montreal Protocol for the triennium 2027–2029</w:t>
      </w:r>
    </w:p>
    <w:p w14:paraId="3B638408" w14:textId="323ED131" w:rsidR="009426AA" w:rsidRPr="00621720" w:rsidRDefault="00CB5DB5" w:rsidP="00CB5DB5">
      <w:pPr>
        <w:pStyle w:val="CH2"/>
      </w:pPr>
      <w:r w:rsidRPr="00621720">
        <w:tab/>
        <w:t>A.</w:t>
      </w:r>
      <w:r w:rsidRPr="00621720">
        <w:tab/>
      </w:r>
      <w:r w:rsidR="009426AA" w:rsidRPr="00621720">
        <w:t>Supplementary report of the Technology and Economic Assessment Panel replenishment task force</w:t>
      </w:r>
    </w:p>
    <w:p w14:paraId="71BB7D4C" w14:textId="45E570D8" w:rsidR="00F01658" w:rsidRPr="00621720" w:rsidRDefault="00C32429" w:rsidP="00DA1CA7">
      <w:pPr>
        <w:pStyle w:val="Normalnumber"/>
        <w:tabs>
          <w:tab w:val="clear" w:pos="1247"/>
          <w:tab w:val="clear" w:pos="1814"/>
          <w:tab w:val="clear" w:pos="2381"/>
          <w:tab w:val="clear" w:pos="2948"/>
          <w:tab w:val="clear" w:pos="3515"/>
          <w:tab w:val="left" w:pos="624"/>
        </w:tabs>
        <w:ind w:left="1247"/>
      </w:pPr>
      <w:r w:rsidRPr="00621720">
        <w:t xml:space="preserve">Introducing the sub-item, the Co-Chair recalled that, </w:t>
      </w:r>
      <w:r w:rsidR="00F01658" w:rsidRPr="00621720">
        <w:t>at the forty-eighth meeting of the Open-ended Working Group, the contact group that had been established to discuss the report of the Technology and Economic Assessment Panel’s replenishment task force had agreed on a list of issues for the task force to consider in its supplementary report to the Thirty-Eighth Meeting of the Parties. She drew attention to the relevant documentation, namely para</w:t>
      </w:r>
      <w:r w:rsidR="00BE1355" w:rsidRPr="00621720">
        <w:t>graph</w:t>
      </w:r>
      <w:r w:rsidR="00F01658" w:rsidRPr="00621720">
        <w:t xml:space="preserve">s 28–31 and annex I </w:t>
      </w:r>
      <w:r w:rsidR="007E0BFF" w:rsidRPr="00621720">
        <w:t xml:space="preserve">to </w:t>
      </w:r>
      <w:r w:rsidR="00F01658" w:rsidRPr="00621720">
        <w:t>document UNEP/OzL.Pro.38/2</w:t>
      </w:r>
      <w:r w:rsidR="00CA638F" w:rsidRPr="00621720">
        <w:t xml:space="preserve"> and document</w:t>
      </w:r>
      <w:r w:rsidR="00F01658" w:rsidRPr="00621720">
        <w:t xml:space="preserve"> UNEP/OzL.Pro.38/2/Add.2. The supplementary report had been made available </w:t>
      </w:r>
      <w:r w:rsidR="007E0BFF" w:rsidRPr="00621720">
        <w:t xml:space="preserve">in September 2026 </w:t>
      </w:r>
      <w:r w:rsidR="00F01658" w:rsidRPr="00621720">
        <w:t xml:space="preserve">on the portal for the Thirty-Eighth Meeting of the Parties. </w:t>
      </w:r>
    </w:p>
    <w:p w14:paraId="2EB86374" w14:textId="72937410" w:rsidR="00285A91" w:rsidRPr="00621720" w:rsidRDefault="00333E85" w:rsidP="00333E85">
      <w:pPr>
        <w:pStyle w:val="Normalnumber"/>
        <w:tabs>
          <w:tab w:val="clear" w:pos="1247"/>
          <w:tab w:val="left" w:pos="142"/>
        </w:tabs>
        <w:rPr>
          <w:rFonts w:eastAsiaTheme="minorHAnsi"/>
          <w:kern w:val="2"/>
          <w14:ligatures w14:val="standardContextual"/>
        </w:rPr>
      </w:pPr>
      <w:r w:rsidRPr="00621720">
        <w:rPr>
          <w:rFonts w:eastAsiaTheme="minorHAnsi"/>
          <w:kern w:val="2"/>
          <w14:ligatures w14:val="standardContextual"/>
        </w:rPr>
        <w:t xml:space="preserve">The </w:t>
      </w:r>
      <w:r w:rsidR="009D1922" w:rsidRPr="00621720">
        <w:rPr>
          <w:rFonts w:eastAsiaTheme="minorHAnsi"/>
          <w:kern w:val="2"/>
          <w14:ligatures w14:val="standardContextual"/>
        </w:rPr>
        <w:t>c</w:t>
      </w:r>
      <w:r w:rsidRPr="00621720">
        <w:rPr>
          <w:rFonts w:eastAsiaTheme="minorHAnsi"/>
          <w:kern w:val="2"/>
          <w14:ligatures w14:val="standardContextual"/>
        </w:rPr>
        <w:t>o-</w:t>
      </w:r>
      <w:r w:rsidR="009D1922" w:rsidRPr="00621720">
        <w:rPr>
          <w:rFonts w:eastAsiaTheme="minorHAnsi"/>
          <w:kern w:val="2"/>
          <w14:ligatures w14:val="standardContextual"/>
        </w:rPr>
        <w:t>c</w:t>
      </w:r>
      <w:r w:rsidRPr="00621720">
        <w:rPr>
          <w:rFonts w:eastAsiaTheme="minorHAnsi"/>
          <w:kern w:val="2"/>
          <w14:ligatures w14:val="standardContextual"/>
        </w:rPr>
        <w:t xml:space="preserve">hairs of the task force, Bella </w:t>
      </w:r>
      <w:proofErr w:type="spellStart"/>
      <w:r w:rsidRPr="00621720">
        <w:rPr>
          <w:rFonts w:eastAsiaTheme="minorHAnsi"/>
          <w:kern w:val="2"/>
          <w14:ligatures w14:val="standardContextual"/>
        </w:rPr>
        <w:t>Maranion</w:t>
      </w:r>
      <w:proofErr w:type="spellEnd"/>
      <w:r w:rsidRPr="00621720">
        <w:rPr>
          <w:rFonts w:eastAsiaTheme="minorHAnsi"/>
          <w:kern w:val="2"/>
          <w14:ligatures w14:val="standardContextual"/>
        </w:rPr>
        <w:t xml:space="preserve"> and Suely Carvalho, gave a presentation on the work of the Panel. A summary of the presentation, prepared by the presenters, is set out in section [</w:t>
      </w:r>
      <w:r w:rsidR="00FB660E" w:rsidRPr="00621720">
        <w:rPr>
          <w:rFonts w:eastAsiaTheme="minorHAnsi"/>
          <w:kern w:val="2"/>
          <w14:ligatures w14:val="standardContextual"/>
        </w:rPr>
        <w:t>--</w:t>
      </w:r>
      <w:r w:rsidRPr="00621720">
        <w:rPr>
          <w:rFonts w:eastAsiaTheme="minorHAnsi"/>
          <w:kern w:val="2"/>
          <w14:ligatures w14:val="standardContextual"/>
        </w:rPr>
        <w:t>] of annex [</w:t>
      </w:r>
      <w:r w:rsidR="00FB660E" w:rsidRPr="00621720">
        <w:rPr>
          <w:rFonts w:eastAsiaTheme="minorHAnsi"/>
          <w:kern w:val="2"/>
          <w14:ligatures w14:val="standardContextual"/>
        </w:rPr>
        <w:t>--</w:t>
      </w:r>
      <w:r w:rsidRPr="00621720">
        <w:rPr>
          <w:rFonts w:eastAsiaTheme="minorHAnsi"/>
          <w:kern w:val="2"/>
          <w14:ligatures w14:val="standardContextual"/>
        </w:rPr>
        <w:t xml:space="preserve">] to the present report. </w:t>
      </w:r>
    </w:p>
    <w:p w14:paraId="7959202A" w14:textId="0E82C084"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In the ensuing question</w:t>
      </w:r>
      <w:r w:rsidR="00A33538" w:rsidRPr="00621720">
        <w:t>-</w:t>
      </w:r>
      <w:r w:rsidRPr="00621720">
        <w:t>and</w:t>
      </w:r>
      <w:r w:rsidR="00A33538" w:rsidRPr="00621720">
        <w:t>-</w:t>
      </w:r>
      <w:r w:rsidRPr="00621720">
        <w:t>answer session, in relation to the new funding scenario 1 (c), when asked to clarify the technical and treaty precedent for substituting agreed sector</w:t>
      </w:r>
      <w:r w:rsidRPr="00621720">
        <w:noBreakHyphen/>
        <w:t>specific cost-effectiveness thresholds with empirical average expenditures, Ms. Carvalho said that the task force had been requested by the Working Group to present revised funding ranges with alternative scenarios and had done so using the data available. She explained that the task force had used averages because individual disbursements could be influenced by project milestones and other implementation factors rather than reflecting actual incremental conversion costs. She acknowledged that there were important data and comparability limitations to some of the scenarios presented, and some of them used cost</w:t>
      </w:r>
      <w:r w:rsidRPr="00621720">
        <w:noBreakHyphen/>
        <w:t>effectiveness thresholds that had not been approved by the Executive Committee.</w:t>
      </w:r>
    </w:p>
    <w:p w14:paraId="6B33E085" w14:textId="1118C4DF"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In relation to a question about the inability of the task force to complete scenarios 1 (b) and 1 (c) because of a lack of representative data on HFC consumption for major consuming parties</w:t>
      </w:r>
      <w:r w:rsidR="0051568A" w:rsidRPr="00621720">
        <w:t xml:space="preserve"> operating under paragraph 1 of Article 5 (Article 5 parties)</w:t>
      </w:r>
      <w:r w:rsidRPr="00621720">
        <w:t xml:space="preserve"> and about the statistical reliability of presenting a lower-end replenishment figure of $984 million to the parties, Ms. Carvalho said that the task force did not consider the lower-end replenishment figure of $984 million to be a statistically reliable estimate. Rather, it was an arithmetic aggregation of the lower-end scenario estimates, based on a defined set of assumptions and not on a recognized statistical estimation method. The task force considered the figure of $984 million to be an illustrative alternative scenario based on the parties’ request.</w:t>
      </w:r>
    </w:p>
    <w:p w14:paraId="4039327F" w14:textId="49203DC0"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Noting also the inability of the task force to devise an estimate of HFC-related costs under scenario 1 (c) owing to the lack of availability of data on major consuming countries in Article 5, group 1</w:t>
      </w:r>
      <w:r w:rsidR="005A1448" w:rsidRPr="00621720">
        <w:t>,</w:t>
      </w:r>
      <w:r w:rsidRPr="00621720">
        <w:t xml:space="preserve"> and Article 5, group 2, including because their Kigali HFC implementation plans had yet to be approved, one representative asked about the adjustments that had been made to enable the task force to make estimates under the other scenarios. Ms. Carvalho said that for scenario 2 (a)</w:t>
      </w:r>
      <w:r w:rsidR="00260277" w:rsidRPr="00621720">
        <w:t>,</w:t>
      </w:r>
      <w:r w:rsidRPr="00621720">
        <w:t xml:space="preserve"> the task force had used the most recently reported Article 7 data on HFC consumption and had indeed filled any gaps using the same process as described in annex III of </w:t>
      </w:r>
      <w:r w:rsidR="00260277" w:rsidRPr="00621720">
        <w:t xml:space="preserve">the </w:t>
      </w:r>
      <w:r w:rsidRPr="00621720">
        <w:t xml:space="preserve">task force’s May 2026 report. Scenario 1 (c), however, had required the task force to estimate funding not </w:t>
      </w:r>
      <w:proofErr w:type="gramStart"/>
      <w:r w:rsidRPr="00621720">
        <w:t>on the basis of</w:t>
      </w:r>
      <w:proofErr w:type="gramEnd"/>
      <w:r w:rsidRPr="00621720">
        <w:t xml:space="preserve"> cost</w:t>
      </w:r>
      <w:r w:rsidRPr="00621720">
        <w:noBreakHyphen/>
        <w:t xml:space="preserve">effectiveness factors but using a new metric. The task force had held numerous discussions with the secretariat of the Multilateral Fund. It had been possible to estimate scenario 1 (c) in relation to hydrochlorofluorocarbons (HCFCs) because there was sufficient information available, but, for HFCs, the task force only had funding information from the past six years on which to base its methodology. That information related to 83 parties only, mainly low-volume-consuming countries, and only a couple of parties whose Kigali HFC implementation plans had been approved before the end of 2025. The average funding was therefore not representative and the figure would have been orders of magnitude higher if larger-volume-consuming parties had been included. A large amount of the information needed for the development of an accurate metric was therefore missing, as it did not exist. </w:t>
      </w:r>
    </w:p>
    <w:p w14:paraId="6D53066E" w14:textId="77777777"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One representative asked the task force why it had not applied scenarios 1 (b) and 1 (c) to the HFC cost estimates for any Article 5 parties, for example by applying the cost-effectiveness factors in tables 3.5 and 3.7 of the supplementary report.</w:t>
      </w:r>
    </w:p>
    <w:p w14:paraId="252A9110" w14:textId="77777777"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 xml:space="preserve"> Another representative noted that systems houses and umbrella projects involving multiple subsectors had been instrumental in past transitions, yet the task force’s historical review was limited to single-sector projects. He expressed concern that the task force was thus using a non-representative sample dominated by a small number of large manufacturers in very large economies. Similarly, an </w:t>
      </w:r>
      <w:r w:rsidRPr="00621720">
        <w:lastRenderedPageBreak/>
        <w:t>unweighted average of values across countries could cause a single project in a low-volume-consuming country to disproportionately affect the global funding baseline.</w:t>
      </w:r>
    </w:p>
    <w:p w14:paraId="6D0BEA40" w14:textId="77777777"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One representative asked why the supplementary report presented the estimated funding for life</w:t>
      </w:r>
      <w:r w:rsidRPr="00621720">
        <w:noBreakHyphen/>
        <w:t xml:space="preserve">cycle refrigerant management and energy efficiency as separate calculations, when decision XXVIII/2 had explicitly mandated the Executive Committee to develop cost guidelines that maintained and enhanced energy efficiency while phasing down HFCs. In response, Ms. Carvalho said that funding for energy efficiency had been treated as an integral part of the HFC consumption sector estimate and thus of the replenishment </w:t>
      </w:r>
      <w:proofErr w:type="gramStart"/>
      <w:r w:rsidRPr="00621720">
        <w:t>requirement, but</w:t>
      </w:r>
      <w:proofErr w:type="gramEnd"/>
      <w:r w:rsidRPr="00621720">
        <w:t xml:space="preserve"> was subject to the applicable funding windows and subsequent decisions of the Executive Committee. Life</w:t>
      </w:r>
      <w:r w:rsidRPr="00621720">
        <w:noBreakHyphen/>
        <w:t xml:space="preserve">cycle refrigerant management, however, had not been included in the core estimate for the 2027–2029 replenishment and had been presented separately in an illustrative funding scenario, as the related funding modalities and cost guidelines had yet to be established. </w:t>
      </w:r>
    </w:p>
    <w:p w14:paraId="7D26987A" w14:textId="3CDF0388"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 xml:space="preserve">One representative sought clarification as to how parties should interpret the wide funding ranges presented, especially in view of the reduction of the </w:t>
      </w:r>
      <w:proofErr w:type="gramStart"/>
      <w:r w:rsidRPr="00621720">
        <w:t>lower-end</w:t>
      </w:r>
      <w:proofErr w:type="gramEnd"/>
      <w:r w:rsidRPr="00621720">
        <w:t xml:space="preserve"> </w:t>
      </w:r>
      <w:proofErr w:type="gramStart"/>
      <w:r w:rsidRPr="00621720">
        <w:t>estimates, and</w:t>
      </w:r>
      <w:proofErr w:type="gramEnd"/>
      <w:r w:rsidRPr="00621720">
        <w:t xml:space="preserve"> asked whether the lower and upper estimates represented different assumptions for achieving the same level of compliance and environmental outcomes or whether they reflected different levels of implementation and associated financing needs. Ms. </w:t>
      </w:r>
      <w:proofErr w:type="spellStart"/>
      <w:r w:rsidRPr="00621720">
        <w:t>Maranion</w:t>
      </w:r>
      <w:proofErr w:type="spellEnd"/>
      <w:r w:rsidRPr="00621720">
        <w:t xml:space="preserve"> recalled that the upper funding estimates had not changed and that the range of the estimates was intended to help parties in negotiating the replenishment. For HCFCs, estimates were based on historical values, cost</w:t>
      </w:r>
      <w:r w:rsidRPr="00621720">
        <w:noBreakHyphen/>
        <w:t>effectiveness factors and a resource allocation schedule. For HFCs, they used compliance</w:t>
      </w:r>
      <w:r w:rsidRPr="00621720">
        <w:noBreakHyphen/>
        <w:t>based scenarios: one that included small and medium-sized enterprises and one that did not. The overall model was compliance-based, as stipulated in the terms of reference for the task force. The task force had followed its existing methodology for some scenarios, but others had required it to reconsider that methodology.</w:t>
      </w:r>
    </w:p>
    <w:p w14:paraId="4CB46A7E" w14:textId="74EDD89F"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 xml:space="preserve">In response to a question about the potential risks associated with the lower-end scenarios proposed, especially for low-volume-consuming countries and very low-volume-consuming countries, and the impact on the final stages of HCFC phase-out management plans, </w:t>
      </w:r>
      <w:r w:rsidR="005D3E52" w:rsidRPr="00621720">
        <w:t>Bassam</w:t>
      </w:r>
      <w:r w:rsidRPr="00621720">
        <w:t xml:space="preserve"> </w:t>
      </w:r>
      <w:proofErr w:type="spellStart"/>
      <w:r w:rsidRPr="00621720">
        <w:t>Elassa</w:t>
      </w:r>
      <w:r w:rsidR="00DA2395" w:rsidRPr="00621720">
        <w:t>a</w:t>
      </w:r>
      <w:r w:rsidRPr="00621720">
        <w:t>d</w:t>
      </w:r>
      <w:proofErr w:type="spellEnd"/>
      <w:r w:rsidRPr="00621720">
        <w:t xml:space="preserve"> said that the low-volume-consuming countries were not affected by the reduced lower-end scenarios because the task force had maintained the costing stipulated in Executive Committee decision 74/50 for HCFC phase-out management plans and decision 92/37 for Kigali HFC implementation plans.</w:t>
      </w:r>
    </w:p>
    <w:p w14:paraId="40664C73" w14:textId="7C240B08"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In response to a question about a potential discrepancy between the lower-end estimate applying to scenario 2 (a) in the published report and that used in the task force’s presentation, Ms. Carvalho suggested that the matter be discussed further in a contact group</w:t>
      </w:r>
      <w:r w:rsidR="00593CF5" w:rsidRPr="00621720">
        <w:t>,</w:t>
      </w:r>
      <w:r w:rsidRPr="00621720">
        <w:t xml:space="preserve"> thereby enabling representatives to </w:t>
      </w:r>
      <w:r w:rsidR="005D3E52" w:rsidRPr="00621720">
        <w:t xml:space="preserve">review the </w:t>
      </w:r>
      <w:r w:rsidRPr="00621720">
        <w:t>figures together.</w:t>
      </w:r>
    </w:p>
    <w:p w14:paraId="2F8FA81A" w14:textId="52FDDBF0"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Responding to a question about the task force’s approach to the analysis of the needs of parties that had not yet submitted their Kigali HFC implementation plans and had no imminent plan to do so during the</w:t>
      </w:r>
      <w:r w:rsidR="00B52BCF" w:rsidRPr="00621720">
        <w:t xml:space="preserve"> current</w:t>
      </w:r>
      <w:r w:rsidRPr="00621720">
        <w:t xml:space="preserve"> triennium, and about the use</w:t>
      </w:r>
      <w:r w:rsidR="00B52BCF" w:rsidRPr="00621720">
        <w:t xml:space="preserve"> by the task force</w:t>
      </w:r>
      <w:r w:rsidRPr="00621720">
        <w:t xml:space="preserve"> of the business plan of the Multilateral Fund </w:t>
      </w:r>
      <w:r w:rsidR="00E869F0" w:rsidRPr="00621720">
        <w:t>in accordance with</w:t>
      </w:r>
      <w:r w:rsidRPr="00621720">
        <w:t xml:space="preserve"> paragraph 3 of the terms of reference</w:t>
      </w:r>
      <w:r w:rsidR="00B52BCF" w:rsidRPr="00621720">
        <w:t xml:space="preserve"> for the task force</w:t>
      </w:r>
      <w:r w:rsidRPr="00621720">
        <w:t xml:space="preserve">, Ms. Carvalho said that the task force had examined the business plan of the Multilateral Fund. It had looked, for instance, at which countries had yet to submit Kigali HFC implementation plans but had plans to submit requests for funding for project preparation. It had found several </w:t>
      </w:r>
      <w:r w:rsidR="00B52BCF" w:rsidRPr="00621720">
        <w:t>major</w:t>
      </w:r>
      <w:r w:rsidRPr="00621720">
        <w:t xml:space="preserve"> consum</w:t>
      </w:r>
      <w:r w:rsidR="00B52BCF" w:rsidRPr="00621720">
        <w:t>ing countries</w:t>
      </w:r>
      <w:r w:rsidRPr="00621720">
        <w:t xml:space="preserve"> in that situation and had thus calculated funding for those countries.</w:t>
      </w:r>
    </w:p>
    <w:p w14:paraId="3530BC7F" w14:textId="64E899A8"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 xml:space="preserve">One representative noted that the task force had taken an approach </w:t>
      </w:r>
      <w:proofErr w:type="gramStart"/>
      <w:r w:rsidRPr="00621720">
        <w:t>similar to</w:t>
      </w:r>
      <w:proofErr w:type="gramEnd"/>
      <w:r w:rsidRPr="00621720">
        <w:t xml:space="preserve"> that used for the replenishment for the </w:t>
      </w:r>
      <w:r w:rsidR="00B52BCF" w:rsidRPr="00621720">
        <w:t xml:space="preserve">triennium </w:t>
      </w:r>
      <w:r w:rsidRPr="00621720">
        <w:t xml:space="preserve">2024–2026. Its estimate had been between $975 million and $1.14 billion, but, with only one meeting of the Executive Committee remaining in the triennium, the Committee had spent only $417 million, and that included some activities that were not needed for compliance. He asked the task force why its funding estimates for the previous triennium had been so wrong and how it had incorporated lessons learned into its estimates for the </w:t>
      </w:r>
      <w:r w:rsidR="00B52BCF" w:rsidRPr="00621720">
        <w:t xml:space="preserve">triennium </w:t>
      </w:r>
      <w:r w:rsidRPr="00621720">
        <w:t>2027–2029. In response, Ms. Carvalho said that the task force could not predict the outcome of Executive Committee negotiations or what decisions would be taken in the future.</w:t>
      </w:r>
    </w:p>
    <w:p w14:paraId="29BC1FD1" w14:textId="64E59A0C"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Several questions were raised about parties experiencing high ambient temperatures. In response to a question about how reliable historical costs were for estimating future financing needs, including for different groups, such as those dealing with high ambient temperatures, Ms. </w:t>
      </w:r>
      <w:proofErr w:type="spellStart"/>
      <w:r w:rsidRPr="00621720">
        <w:t>Maranion</w:t>
      </w:r>
      <w:proofErr w:type="spellEnd"/>
      <w:r w:rsidRPr="00621720">
        <w:t xml:space="preserve"> said the methodology used by the task force had distinguished the compliance requirements for group 1 and group 2 parties and looked at the cost</w:t>
      </w:r>
      <w:r w:rsidR="00A34FFC" w:rsidRPr="00621720">
        <w:t>-</w:t>
      </w:r>
      <w:r w:rsidRPr="00621720">
        <w:t>effectiveness, historical cost</w:t>
      </w:r>
      <w:r w:rsidR="00B52BCF" w:rsidRPr="00621720">
        <w:t>-</w:t>
      </w:r>
      <w:r w:rsidRPr="00621720">
        <w:t>effectiveness or cost</w:t>
      </w:r>
      <w:r w:rsidR="00B52BCF" w:rsidRPr="00621720">
        <w:t>-</w:t>
      </w:r>
      <w:r w:rsidRPr="00621720">
        <w:t xml:space="preserve">effectiveness guidelines available, but there was no distinction specifically for </w:t>
      </w:r>
      <w:r w:rsidR="00B52BCF" w:rsidRPr="00621720">
        <w:t xml:space="preserve">countries with </w:t>
      </w:r>
      <w:r w:rsidRPr="00621720">
        <w:t>high ambient</w:t>
      </w:r>
      <w:r w:rsidR="00B52BCF" w:rsidRPr="00621720">
        <w:t xml:space="preserve"> </w:t>
      </w:r>
      <w:r w:rsidRPr="00621720">
        <w:t>temperature</w:t>
      </w:r>
      <w:r w:rsidR="00B52BCF" w:rsidRPr="00621720">
        <w:t>s</w:t>
      </w:r>
      <w:r w:rsidRPr="00621720">
        <w:t xml:space="preserve"> beyond that. One representative asked the task force to explain how the historical project costs reflected differences in the prices of alternatives, available technologies, and performance under high ambient temperatures. He also asked about the impact of the reductions on the </w:t>
      </w:r>
      <w:r w:rsidRPr="00621720">
        <w:lastRenderedPageBreak/>
        <w:t xml:space="preserve">preparations and the readiness of the second group of countries for the reduction </w:t>
      </w:r>
      <w:r w:rsidR="005D3E52" w:rsidRPr="00621720">
        <w:t xml:space="preserve">in </w:t>
      </w:r>
      <w:r w:rsidRPr="00621720">
        <w:t>2030 and the financing needed for 2030 until 2032.</w:t>
      </w:r>
    </w:p>
    <w:p w14:paraId="311D59F0" w14:textId="221C6A97"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One representative noted that Article 5, group 2, countries faced a binding consumption freeze on 1 January 2028, which was midway through the triennium 2027–2029. Given that plant redesign and the process of safety certification for flammable alternatives could take up to two years, he asked whether the task force’s primary funding models explicitly incorporated a front-loaded disbursement structure to ensure timely capital flow to manufacturing units or if the lower end scenarios assumed back-loaded disbursement that would arrive after the 2028 deadline.</w:t>
      </w:r>
    </w:p>
    <w:p w14:paraId="4E100AD4" w14:textId="7BFF4BFE"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 xml:space="preserve">In response to a question about the appropriateness of the task force’s use of only one low-volume-consuming country as the basis for its assessment of the implementation needs in stage II of Kigali HFC implementation plans, given the huge differences in the situations of low-volume-consuming countries and the fact that some had adopted more ambitious reduction targets, Mr. </w:t>
      </w:r>
      <w:proofErr w:type="spellStart"/>
      <w:r w:rsidRPr="00621720">
        <w:t>Elassa</w:t>
      </w:r>
      <w:r w:rsidR="00F21BCD" w:rsidRPr="00621720">
        <w:t>a</w:t>
      </w:r>
      <w:r w:rsidRPr="00621720">
        <w:t>d</w:t>
      </w:r>
      <w:proofErr w:type="spellEnd"/>
      <w:r w:rsidRPr="00621720">
        <w:t xml:space="preserve"> explained that the task force had used a single, representative country per funding bracket, but had carried out sensitivity analysis and a stress test to test its assumptions and considered the values to be representative in all eight funding brackets. </w:t>
      </w:r>
    </w:p>
    <w:p w14:paraId="587C3B29" w14:textId="77777777"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 xml:space="preserve">One representative asked the task force to present a clear breakdown of costs that showed the net quantitative impact of the integration of project management unit costs in all scenarios, so that the parties could evaluate the true cost. Ms. Carvalho confirmed that, in the report, the costs had been presented in a separate line so that parties could see the impact. The representative also expressed the view that the increase in costs due to the inclusion of the costs of the programme management units had been eclipsed by the downward adjustments that had occurred in scenarios 1 (a) and 1 (c). </w:t>
      </w:r>
    </w:p>
    <w:p w14:paraId="30F66D0F" w14:textId="1365FF1D"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 xml:space="preserve">One representative asked the task force to clarify which country activities and institutional functions would be financed under each scenario and which would be postponed and how each scenario provided for activities related to licensing, reporting mechanisms and energy efficiency. </w:t>
      </w:r>
    </w:p>
    <w:p w14:paraId="78C2B821" w14:textId="673659F2"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 xml:space="preserve">Responding to a question about the cost of training technicians when the total number of technicians affected had not been established, Mr. </w:t>
      </w:r>
      <w:proofErr w:type="spellStart"/>
      <w:r w:rsidRPr="00621720">
        <w:t>Elassa</w:t>
      </w:r>
      <w:r w:rsidR="00E765A1" w:rsidRPr="00621720">
        <w:t>a</w:t>
      </w:r>
      <w:r w:rsidRPr="00621720">
        <w:t>d</w:t>
      </w:r>
      <w:proofErr w:type="spellEnd"/>
      <w:r w:rsidRPr="00621720">
        <w:t xml:space="preserve"> confirmed that the total number of technicians was not known, but that the report aimed to establish whether the needs for training were sufficiently covered by the cost brackets stated therein. </w:t>
      </w:r>
    </w:p>
    <w:p w14:paraId="611EC877" w14:textId="7EC8B55F" w:rsidR="00FB660E" w:rsidRPr="00621720" w:rsidRDefault="00FB660E" w:rsidP="00FB660E">
      <w:pPr>
        <w:pStyle w:val="Normalnumber"/>
        <w:tabs>
          <w:tab w:val="clear" w:pos="1247"/>
          <w:tab w:val="clear" w:pos="1814"/>
          <w:tab w:val="clear" w:pos="2381"/>
          <w:tab w:val="clear" w:pos="2948"/>
          <w:tab w:val="clear" w:pos="3515"/>
          <w:tab w:val="left" w:pos="624"/>
        </w:tabs>
        <w:ind w:left="1247"/>
      </w:pPr>
      <w:r w:rsidRPr="00621720">
        <w:t>Noting that the implementation of the Kigali Amendment often required the use of flammable hydrocarbons or mildly flammable blends, one representative asked how the task force had accounted, in its methodology, for the fixed, non-scalable costs related to ensuring safety and preventing leaks, and whether the task force considered that the use of historical cost metrics in the implementation of the Kigali Amendment severely understated the actual capital costs of manufacturing lines.</w:t>
      </w:r>
    </w:p>
    <w:p w14:paraId="51283623" w14:textId="591E7348" w:rsidR="00E579C2" w:rsidRPr="00621720" w:rsidRDefault="00E579C2" w:rsidP="00B5137A">
      <w:pPr>
        <w:pStyle w:val="Normalnumber"/>
        <w:tabs>
          <w:tab w:val="clear" w:pos="1247"/>
          <w:tab w:val="clear" w:pos="1814"/>
          <w:tab w:val="clear" w:pos="2381"/>
          <w:tab w:val="clear" w:pos="2948"/>
          <w:tab w:val="clear" w:pos="3515"/>
          <w:tab w:val="left" w:pos="624"/>
        </w:tabs>
        <w:ind w:left="1247"/>
      </w:pPr>
      <w:r w:rsidRPr="00621720">
        <w:t xml:space="preserve">In the ensuing discussion, several representatives, including one speaking on behalf of a group of parties, thanked the replenishment task force for its report, and for providing updated funding estimates that explored additional scenarios, as requested by the Open-ended Working Group at its forty-eighth meeting. The technical background presented constituted a strong basis for the assessment of the funding requirements for the replenishment of the Multilateral Fund for </w:t>
      </w:r>
      <w:r w:rsidR="007838E5" w:rsidRPr="00621720">
        <w:t xml:space="preserve">the triennium </w:t>
      </w:r>
      <w:r w:rsidRPr="00621720">
        <w:t xml:space="preserve">2027–2029, </w:t>
      </w:r>
      <w:proofErr w:type="gramStart"/>
      <w:r w:rsidRPr="00621720">
        <w:t>taking into account</w:t>
      </w:r>
      <w:proofErr w:type="gramEnd"/>
      <w:r w:rsidRPr="00621720">
        <w:t xml:space="preserve"> the actual needs of Article 5 parties. The commitment of </w:t>
      </w:r>
      <w:r w:rsidR="0051568A" w:rsidRPr="00621720">
        <w:t>parties not operating under paragraph 1 of Article 5 (</w:t>
      </w:r>
      <w:r w:rsidRPr="00621720">
        <w:t>non-Article 5 parties</w:t>
      </w:r>
      <w:r w:rsidR="0051568A" w:rsidRPr="00621720">
        <w:t>)</w:t>
      </w:r>
      <w:r w:rsidRPr="00621720">
        <w:t xml:space="preserve"> to ensuring that Article 5 parties had sufficient resources to meet their international obligations under the Montreal Protocol was reiterated. </w:t>
      </w:r>
    </w:p>
    <w:p w14:paraId="549DE145" w14:textId="1DD888AB" w:rsidR="00E579C2" w:rsidRPr="00621720" w:rsidRDefault="00E579C2" w:rsidP="00B5137A">
      <w:pPr>
        <w:pStyle w:val="Normalnumber"/>
        <w:tabs>
          <w:tab w:val="clear" w:pos="1247"/>
          <w:tab w:val="clear" w:pos="1814"/>
          <w:tab w:val="clear" w:pos="2381"/>
          <w:tab w:val="clear" w:pos="2948"/>
          <w:tab w:val="clear" w:pos="3515"/>
          <w:tab w:val="left" w:pos="624"/>
        </w:tabs>
        <w:ind w:left="1247"/>
      </w:pPr>
      <w:r w:rsidRPr="00621720">
        <w:t>One representative said that it was important to recall that the cornerstone of the Kigali Amendment was the assurance that the Multilateral Fund would remain the dedicated financial mechanism providing stable, predictable and sufficient funding to enable Article 5 parties to meet their HFC phase-down obligations. The profound industrial, technological and socioeconomic transition that that entailed presented complex operational challenges as Article 5 parties upgraded manufacturing lines, adopted alternative low</w:t>
      </w:r>
      <w:r w:rsidR="00C944A3" w:rsidRPr="00621720">
        <w:t xml:space="preserve"> </w:t>
      </w:r>
      <w:r w:rsidRPr="00621720">
        <w:t>global-warming-potential</w:t>
      </w:r>
      <w:r w:rsidR="00C944A3" w:rsidRPr="00621720">
        <w:t xml:space="preserve"> (GWP)</w:t>
      </w:r>
      <w:r w:rsidRPr="00621720">
        <w:t xml:space="preserve"> technologies and modernized the service sector. Given those challenges, the Multilateral Fund needed to be capitalized with funding modalities that reflected practical, on-the-ground realities and </w:t>
      </w:r>
      <w:proofErr w:type="gramStart"/>
      <w:r w:rsidRPr="00621720">
        <w:t>took into account</w:t>
      </w:r>
      <w:proofErr w:type="gramEnd"/>
      <w:r w:rsidRPr="00621720">
        <w:t xml:space="preserve"> shared but differentiated responsibilities.</w:t>
      </w:r>
    </w:p>
    <w:p w14:paraId="45FBFED8" w14:textId="4050A3EB" w:rsidR="00E579C2" w:rsidRPr="00621720" w:rsidRDefault="00E579C2" w:rsidP="00B5137A">
      <w:pPr>
        <w:pStyle w:val="Normalnumber"/>
        <w:tabs>
          <w:tab w:val="clear" w:pos="1247"/>
          <w:tab w:val="clear" w:pos="1814"/>
          <w:tab w:val="clear" w:pos="2381"/>
          <w:tab w:val="clear" w:pos="2948"/>
          <w:tab w:val="clear" w:pos="3515"/>
          <w:tab w:val="left" w:pos="624"/>
        </w:tabs>
        <w:ind w:left="1247"/>
        <w:rPr>
          <w:lang w:eastAsia="en-GB"/>
        </w:rPr>
      </w:pPr>
      <w:r w:rsidRPr="00621720">
        <w:t xml:space="preserve">Regarding the sources of funding for the Multilateral Fund, one representative, speaking on behalf of a group of countries, recalling the stipulation in Article 10 of the Montreal Protocol that the Multilateral Fund should be financed by contributions from non-Article 5 parties, said that economic realities had changed since the creation of the Fund in 1990, and a broader donor base was to be encouraged, including contributions from parties other than non-Article 5 parties and from diverse financing tools and approaches. He also expressed reservations about the methodology adopted by the replenishment task force, despite the concerns expressed by parties at the forty-eighth meeting of the Working Group regarding the use of that methodology. The task force had also given insufficient </w:t>
      </w:r>
      <w:r w:rsidRPr="00621720">
        <w:lastRenderedPageBreak/>
        <w:t xml:space="preserve">attention to the views of parties and </w:t>
      </w:r>
      <w:r w:rsidR="00003139" w:rsidRPr="00621720">
        <w:t xml:space="preserve">the </w:t>
      </w:r>
      <w:r w:rsidRPr="00621720">
        <w:t xml:space="preserve">decisions taken by Meetings of the Parties and the Executive Committee in formulating its recommendations. In addition, the indicative funding requirements presented were quite </w:t>
      </w:r>
      <w:proofErr w:type="gramStart"/>
      <w:r w:rsidRPr="00621720">
        <w:t>high, and</w:t>
      </w:r>
      <w:proofErr w:type="gramEnd"/>
      <w:r w:rsidRPr="00621720">
        <w:t xml:space="preserve"> were not aligned with the requirement for sound financial management and the need for effective use and programming of available resources. The determination of an appropriate replenishment level should </w:t>
      </w:r>
      <w:proofErr w:type="gramStart"/>
      <w:r w:rsidRPr="00621720">
        <w:t>take into account</w:t>
      </w:r>
      <w:proofErr w:type="gramEnd"/>
      <w:r w:rsidRPr="00621720">
        <w:t xml:space="preserve"> historical disbursement rates and implementation and absorption capacity, as well as the broader economic situation. Another representative said that in some cases the scenarios had not been developed as expected; for instance, </w:t>
      </w:r>
      <w:r w:rsidRPr="00621720">
        <w:rPr>
          <w:lang w:eastAsia="en-GB"/>
        </w:rPr>
        <w:t xml:space="preserve">historical cost-effectiveness figures applied for Kigali HFC implementation plans had not considered the historical experience with respect to the transition from HCFCs to low-GWP alternatives. Another representative said that the scenarios that guided the replenishment process should be based on the cost guidelines approved by the Executive Committee, rather than on historical averages, and should reflect the different national circumstances of Article 5 parties, including those with high ambient temperatures. </w:t>
      </w:r>
    </w:p>
    <w:p w14:paraId="305EAC90" w14:textId="1E11BA11" w:rsidR="00E579C2" w:rsidRPr="00621720" w:rsidRDefault="00E579C2" w:rsidP="00B5137A">
      <w:pPr>
        <w:pStyle w:val="Normalnumber"/>
        <w:tabs>
          <w:tab w:val="clear" w:pos="1247"/>
          <w:tab w:val="clear" w:pos="1814"/>
          <w:tab w:val="clear" w:pos="2381"/>
          <w:tab w:val="clear" w:pos="2948"/>
          <w:tab w:val="clear" w:pos="3515"/>
          <w:tab w:val="left" w:pos="624"/>
        </w:tabs>
        <w:ind w:left="1247"/>
      </w:pPr>
      <w:r w:rsidRPr="00621720">
        <w:t xml:space="preserve">A major concern </w:t>
      </w:r>
      <w:r w:rsidR="00194D7E" w:rsidRPr="00621720">
        <w:t xml:space="preserve">highlighted by many representatives regarding </w:t>
      </w:r>
      <w:r w:rsidRPr="00621720">
        <w:t>the report of the replenishment task force was the substantial overestimat</w:t>
      </w:r>
      <w:r w:rsidR="00194D7E" w:rsidRPr="00621720">
        <w:t>ion</w:t>
      </w:r>
      <w:r w:rsidRPr="00621720">
        <w:t xml:space="preserve"> of funding needs, as had been the case for the previous replenishment</w:t>
      </w:r>
      <w:r w:rsidR="00003139" w:rsidRPr="00621720">
        <w:t>,</w:t>
      </w:r>
      <w:r w:rsidRPr="00621720">
        <w:t xml:space="preserve"> for </w:t>
      </w:r>
      <w:r w:rsidR="00194D7E" w:rsidRPr="00621720">
        <w:t xml:space="preserve">the triennium </w:t>
      </w:r>
      <w:r w:rsidRPr="00621720">
        <w:t>2024–2026. It was apparent that the funding estimate for HFC phase-down activities during the current triennium had been inaccurate, as evidenced by the significant underutilization of the funds agreed. That had entailed a significant carry-over of funds to the following triennium,</w:t>
      </w:r>
      <w:r w:rsidRPr="00621720">
        <w:rPr>
          <w:lang w:eastAsia="en-GB"/>
        </w:rPr>
        <w:t xml:space="preserve"> indicating that the previous replenishment had exceeded significantly the implementable funding requests</w:t>
      </w:r>
      <w:r w:rsidRPr="00621720">
        <w:t xml:space="preserve">. For example, funding for energy efficiency and life-cycle refrigerant management had been markedly overestimated. In addition, the scenarios presented were difficult to follow and understand, including the scope of the costs and activities captured and the basis for inclusion and exclusion. Parties needed to carefully consider the available evidence and experience of implementing the Fund to phase out HCFCs and phase down HFCs when establishing a replenishment that was credible and ensured that Article 5 parties had adequate resources to meet their compliance obligations. </w:t>
      </w:r>
    </w:p>
    <w:p w14:paraId="4342CDFB" w14:textId="0F745FB5" w:rsidR="00E579C2" w:rsidRPr="00621720" w:rsidRDefault="00E579C2" w:rsidP="00B5137A">
      <w:pPr>
        <w:pStyle w:val="Normalnumber"/>
        <w:tabs>
          <w:tab w:val="clear" w:pos="1247"/>
          <w:tab w:val="clear" w:pos="1814"/>
          <w:tab w:val="clear" w:pos="2381"/>
          <w:tab w:val="clear" w:pos="2948"/>
          <w:tab w:val="clear" w:pos="3515"/>
          <w:tab w:val="left" w:pos="624"/>
        </w:tabs>
        <w:ind w:left="1247"/>
        <w:rPr>
          <w:lang w:eastAsia="en-GB"/>
        </w:rPr>
      </w:pPr>
      <w:r w:rsidRPr="00621720">
        <w:t>One representative said that the replenishment task force had</w:t>
      </w:r>
      <w:r w:rsidR="0068602F" w:rsidRPr="00621720">
        <w:t xml:space="preserve"> </w:t>
      </w:r>
      <w:r w:rsidRPr="00621720">
        <w:t>appeared</w:t>
      </w:r>
      <w:r w:rsidR="0068602F" w:rsidRPr="00621720">
        <w:t xml:space="preserve"> not</w:t>
      </w:r>
      <w:r w:rsidRPr="00621720">
        <w:t xml:space="preserve"> to follow the guidance from the Working Group to apply cost-effectiveness criteria in certain scenarios, and, contrary to their mandate, had been insufficiently informed by the business plan. It was essential to negotiate the replenishment </w:t>
      </w:r>
      <w:proofErr w:type="gramStart"/>
      <w:r w:rsidRPr="00621720">
        <w:t>on the basis of</w:t>
      </w:r>
      <w:proofErr w:type="gramEnd"/>
      <w:r w:rsidRPr="00621720">
        <w:t xml:space="preserve"> the actual funding need. In view of the failure of the applied methodology to achieve that aim, it might be necessary, at some future stage, to consider </w:t>
      </w:r>
      <w:r w:rsidRPr="00621720">
        <w:rPr>
          <w:lang w:eastAsia="en-GB"/>
        </w:rPr>
        <w:t xml:space="preserve">alternative arrangements that would lead to an accurate estimate of actual costs to inform the Meetings of the Parties in future replenishments. A credible pathway was needed to substantially reduce the roll-over of funds from one triennium to the next. In doing so, a level of contributions should be targeted that ensured stability and predictability of incoming resources and operations in the Multilateral Fund. </w:t>
      </w:r>
    </w:p>
    <w:p w14:paraId="0FD890D6" w14:textId="77777777" w:rsidR="00E579C2" w:rsidRPr="00621720" w:rsidRDefault="00E579C2" w:rsidP="00B5137A">
      <w:pPr>
        <w:pStyle w:val="Normalnumber"/>
        <w:tabs>
          <w:tab w:val="clear" w:pos="1247"/>
          <w:tab w:val="clear" w:pos="1814"/>
          <w:tab w:val="clear" w:pos="2381"/>
          <w:tab w:val="clear" w:pos="2948"/>
          <w:tab w:val="clear" w:pos="3515"/>
          <w:tab w:val="left" w:pos="624"/>
        </w:tabs>
        <w:ind w:left="1247"/>
      </w:pPr>
      <w:r w:rsidRPr="00621720">
        <w:t xml:space="preserve">Another representative, noting the complex implementation challenges facing Article 5 parties, said that absorption capacity depended directly on institutional capacity, and he cautioned against interpreting underspending as unwillingness or inability to implement; the answer was to address constraints, not reduce resources, especially when compliance was at risk. He also emphasized the importance of protecting the wider benefits of the transition being financed by the Montreal Protocol, including in such areas as food security, energy security, health and development. Given those considerations, an ambitious replenishment should be favoured, with provision for energy efficiency, life-cycle refrigerant management and measures against dumping, while ensuring that low-volume consumers were not put at a disadvantage because their consumption was small. </w:t>
      </w:r>
    </w:p>
    <w:p w14:paraId="622C5FCF" w14:textId="7902E41C" w:rsidR="00E579C2" w:rsidRPr="00621720" w:rsidRDefault="00E579C2" w:rsidP="00B5137A">
      <w:pPr>
        <w:pStyle w:val="Normalnumber"/>
        <w:tabs>
          <w:tab w:val="clear" w:pos="1247"/>
          <w:tab w:val="clear" w:pos="1814"/>
          <w:tab w:val="clear" w:pos="2381"/>
          <w:tab w:val="clear" w:pos="2948"/>
          <w:tab w:val="clear" w:pos="3515"/>
          <w:tab w:val="left" w:pos="624"/>
        </w:tabs>
        <w:ind w:left="1247"/>
        <w:rPr>
          <w:lang w:val="en-US" w:eastAsia="en-GB"/>
        </w:rPr>
      </w:pPr>
      <w:r w:rsidRPr="00621720">
        <w:rPr>
          <w:lang w:eastAsia="en-GB"/>
        </w:rPr>
        <w:t xml:space="preserve">The parties agreed to establish a contact group, co-chaired by </w:t>
      </w:r>
      <w:proofErr w:type="spellStart"/>
      <w:r w:rsidR="00A34FFC" w:rsidRPr="00621720">
        <w:rPr>
          <w:lang w:val="en-US" w:eastAsia="en-GB"/>
        </w:rPr>
        <w:t>Miruza</w:t>
      </w:r>
      <w:proofErr w:type="spellEnd"/>
      <w:r w:rsidR="00A34FFC" w:rsidRPr="00621720">
        <w:rPr>
          <w:lang w:val="en-US" w:eastAsia="en-GB"/>
        </w:rPr>
        <w:t xml:space="preserve"> Mohamed (Maldives) and </w:t>
      </w:r>
      <w:r w:rsidRPr="00621720">
        <w:rPr>
          <w:lang w:val="en-US" w:eastAsia="en-GB"/>
        </w:rPr>
        <w:t xml:space="preserve">Ralph </w:t>
      </w:r>
      <w:proofErr w:type="spellStart"/>
      <w:r w:rsidRPr="00621720">
        <w:rPr>
          <w:lang w:val="en-US" w:eastAsia="en-GB"/>
        </w:rPr>
        <w:t>Brieskorn</w:t>
      </w:r>
      <w:proofErr w:type="spellEnd"/>
      <w:r w:rsidRPr="00621720">
        <w:rPr>
          <w:lang w:val="en-US" w:eastAsia="en-GB"/>
        </w:rPr>
        <w:t xml:space="preserve"> (Netherlands (Kingdom of the)), to further discuss the draft decision.</w:t>
      </w:r>
    </w:p>
    <w:p w14:paraId="12386994" w14:textId="70AD4B81" w:rsidR="00FA7B34" w:rsidRPr="00621720" w:rsidRDefault="00FA7B34" w:rsidP="00FA7B34">
      <w:pPr>
        <w:pStyle w:val="Normalnumber"/>
      </w:pPr>
      <w:r w:rsidRPr="00621720">
        <w:t>Ralph Brieskorn, co-chair of the contact group</w:t>
      </w:r>
      <w:r w:rsidR="00555030" w:rsidRPr="00621720">
        <w:t>,</w:t>
      </w:r>
      <w:r w:rsidRPr="00621720">
        <w:t xml:space="preserve"> report</w:t>
      </w:r>
      <w:r w:rsidR="00555030" w:rsidRPr="00621720">
        <w:t>ing</w:t>
      </w:r>
      <w:r w:rsidRPr="00621720">
        <w:t xml:space="preserve"> on the group</w:t>
      </w:r>
      <w:r w:rsidR="00244FEF" w:rsidRPr="00621720">
        <w:t>’s work</w:t>
      </w:r>
      <w:r w:rsidR="00555030" w:rsidRPr="00621720">
        <w:t>, asked</w:t>
      </w:r>
      <w:r w:rsidRPr="00621720">
        <w:t xml:space="preserve"> the Secretariat </w:t>
      </w:r>
      <w:r w:rsidR="00555030" w:rsidRPr="00621720">
        <w:t xml:space="preserve">to </w:t>
      </w:r>
      <w:r w:rsidRPr="00621720">
        <w:t xml:space="preserve">clarify whether the task force could </w:t>
      </w:r>
      <w:r w:rsidR="00555030" w:rsidRPr="00621720">
        <w:t xml:space="preserve">further develop </w:t>
      </w:r>
      <w:r w:rsidRPr="00621720">
        <w:t>two scenarios that had not been adequately reflected in the supplementary report</w:t>
      </w:r>
      <w:r w:rsidR="00EF6E55" w:rsidRPr="00621720">
        <w:t>,</w:t>
      </w:r>
      <w:r w:rsidRPr="00621720">
        <w:t xml:space="preserve"> and whether participants in the contact group could request the task force to prepare scenarios during the current meeting. </w:t>
      </w:r>
    </w:p>
    <w:p w14:paraId="1937033F" w14:textId="130D441D" w:rsidR="00FA7B34" w:rsidRPr="00621720" w:rsidRDefault="00555030" w:rsidP="00FA7B34">
      <w:pPr>
        <w:pStyle w:val="Normalnumber"/>
      </w:pPr>
      <w:r w:rsidRPr="00621720">
        <w:t>The Executive Secretary</w:t>
      </w:r>
      <w:r w:rsidR="00FA7B34" w:rsidRPr="00621720">
        <w:t xml:space="preserve"> said that any additional analysis requested should be consistent with the </w:t>
      </w:r>
      <w:r w:rsidR="006128B4" w:rsidRPr="00621720">
        <w:t xml:space="preserve">suggestions </w:t>
      </w:r>
      <w:r w:rsidR="009901D6" w:rsidRPr="00621720">
        <w:t xml:space="preserve">for additional </w:t>
      </w:r>
      <w:r w:rsidR="00FA7B34" w:rsidRPr="00621720">
        <w:t xml:space="preserve">analyses agreed upon by the Open-ended Working Group at its forty-eighth meeting and feasible for </w:t>
      </w:r>
      <w:r w:rsidR="00A82967" w:rsidRPr="00621720">
        <w:t xml:space="preserve">the </w:t>
      </w:r>
      <w:r w:rsidR="00FA7B34" w:rsidRPr="00621720">
        <w:t xml:space="preserve">Technology and Economic Assessment Panel to perform within the time available. </w:t>
      </w:r>
    </w:p>
    <w:p w14:paraId="6E844F5E" w14:textId="43368B99" w:rsidR="00FA7B34" w:rsidRPr="00621720" w:rsidRDefault="00FA7B34" w:rsidP="00FA7B34">
      <w:pPr>
        <w:pStyle w:val="Normalnumber"/>
      </w:pPr>
      <w:r w:rsidRPr="00621720">
        <w:t xml:space="preserve">The Co-Chair said that, with regard to consistency, her understanding was that the Panel was not being requested to do new work, but to complete the work in relation to scenarios 1 (b) and 1 (c) as requested by the Open-ended Working Group at its forty-eighth meeting. </w:t>
      </w:r>
      <w:proofErr w:type="gramStart"/>
      <w:r w:rsidRPr="00621720">
        <w:t>With regard to</w:t>
      </w:r>
      <w:proofErr w:type="gramEnd"/>
      <w:r w:rsidRPr="00621720">
        <w:t xml:space="preserve"> feasibility, Ms. </w:t>
      </w:r>
      <w:proofErr w:type="spellStart"/>
      <w:r w:rsidRPr="00621720">
        <w:t>Maranion</w:t>
      </w:r>
      <w:proofErr w:type="spellEnd"/>
      <w:r w:rsidRPr="00621720">
        <w:t xml:space="preserve"> confirmed that the Panel could process the calculation requested in relation to scenario </w:t>
      </w:r>
      <w:r w:rsidRPr="00621720">
        <w:lastRenderedPageBreak/>
        <w:t xml:space="preserve">1 (c), if beneficial for parties’ consideration, but emphasized that further calculations might not be possible. </w:t>
      </w:r>
    </w:p>
    <w:p w14:paraId="64E5ADED" w14:textId="079F5D52" w:rsidR="00FA7B34" w:rsidRPr="00621720" w:rsidRDefault="00FA7B34" w:rsidP="00FA7B34">
      <w:pPr>
        <w:pStyle w:val="Normalnumber"/>
      </w:pPr>
      <w:r w:rsidRPr="00621720">
        <w:t xml:space="preserve">During the ensuing discussion, many representatives voiced opposition to the request for further analysis. Some representatives said that information additional to that </w:t>
      </w:r>
      <w:r w:rsidR="00A82967" w:rsidRPr="00621720">
        <w:t xml:space="preserve">provided </w:t>
      </w:r>
      <w:r w:rsidRPr="00621720">
        <w:t xml:space="preserve">in the supplementary report should first be presented in plenary session in order that all the parties could review it. Several representatives said that the supplementary report already adequately covered the analyses requested by the parties at the forty-eighth meeting of the Working Group, and another said that negotiations should be conducted </w:t>
      </w:r>
      <w:proofErr w:type="gramStart"/>
      <w:r w:rsidRPr="00621720">
        <w:t>on the basis of</w:t>
      </w:r>
      <w:proofErr w:type="gramEnd"/>
      <w:r w:rsidRPr="00621720">
        <w:t xml:space="preserve"> the supplementary report in its current form. One representative said that the Panel should explain the technical basis for each of the scenarios that had been presented. Another representative, acknowledging the importance of not establishing a precedent whereby any new scenario or circumstance could be proposed for analysis by the Panel, said that the request in question was narrow in focus and based on language that had already been agreed upon by the Working Group.  </w:t>
      </w:r>
    </w:p>
    <w:p w14:paraId="5A4E42C6" w14:textId="384BAB0E" w:rsidR="00FA7B34" w:rsidRPr="00621720" w:rsidRDefault="00FA7B34" w:rsidP="00FA7B34">
      <w:pPr>
        <w:pStyle w:val="Normalnumber"/>
      </w:pPr>
      <w:r w:rsidRPr="00621720">
        <w:t xml:space="preserve">Some representatives, including one speaking on behalf of a group of countries, said that the proposed work would merely provide further clarity on the analysis already conducted. One representative highlighted the fact that many parties had requested </w:t>
      </w:r>
      <w:r w:rsidR="00FD16E2" w:rsidRPr="00621720">
        <w:t xml:space="preserve">an </w:t>
      </w:r>
      <w:r w:rsidRPr="00621720">
        <w:t>updated analysis of scenario 1</w:t>
      </w:r>
      <w:r w:rsidR="00FD16E2" w:rsidRPr="00621720">
        <w:t> </w:t>
      </w:r>
      <w:r w:rsidRPr="00621720">
        <w:t xml:space="preserve">(c), and said that, since the recalculation was feasible, it should be carried out. Another representative stressed the importance of ensuring that the Panel’s scientific methodology was not challenged </w:t>
      </w:r>
      <w:proofErr w:type="gramStart"/>
      <w:r w:rsidRPr="00621720">
        <w:t>on the basis of</w:t>
      </w:r>
      <w:proofErr w:type="gramEnd"/>
      <w:r w:rsidRPr="00621720">
        <w:t xml:space="preserve"> parties’ differing opinions. </w:t>
      </w:r>
    </w:p>
    <w:p w14:paraId="0764926E" w14:textId="77777777" w:rsidR="00FA7B34" w:rsidRPr="00621720" w:rsidRDefault="00FA7B34" w:rsidP="00FA7B34">
      <w:pPr>
        <w:pStyle w:val="Normalnumber"/>
      </w:pPr>
      <w:r w:rsidRPr="00621720">
        <w:t>The Co-Chair proposed that the Panel conduct the additional analysis relating to scenario 1 (c), that the results of the analysis be reported back to the parties in plenary session, and that the parties determine, on that basis, how to proceed.</w:t>
      </w:r>
    </w:p>
    <w:p w14:paraId="38523A09" w14:textId="144F01CD" w:rsidR="00FA7B34" w:rsidRPr="00621720" w:rsidRDefault="00FA7B34" w:rsidP="00FA7B34">
      <w:pPr>
        <w:pStyle w:val="Normalnumber"/>
      </w:pPr>
      <w:r w:rsidRPr="00621720">
        <w:t xml:space="preserve">Responding to the proposal, some representatives said that, if one additional request were acceded to, other proposals and observations should also be presented. </w:t>
      </w:r>
    </w:p>
    <w:p w14:paraId="45894E53" w14:textId="3604E187" w:rsidR="00FA7B34" w:rsidRPr="00621720" w:rsidRDefault="00FA7B34" w:rsidP="00FA7B34">
      <w:pPr>
        <w:pStyle w:val="Normalnumber"/>
      </w:pPr>
      <w:r w:rsidRPr="00621720">
        <w:t xml:space="preserve">The </w:t>
      </w:r>
      <w:r w:rsidR="00555030" w:rsidRPr="00621720">
        <w:t xml:space="preserve">parties agreed </w:t>
      </w:r>
      <w:r w:rsidRPr="00621720">
        <w:t xml:space="preserve">that the contact group </w:t>
      </w:r>
      <w:r w:rsidR="00555030" w:rsidRPr="00621720">
        <w:t>w</w:t>
      </w:r>
      <w:r w:rsidRPr="00621720">
        <w:t>ould continue its work</w:t>
      </w:r>
      <w:r w:rsidR="00555030" w:rsidRPr="00621720">
        <w:t xml:space="preserve"> and that</w:t>
      </w:r>
      <w:r w:rsidRPr="00621720">
        <w:t xml:space="preserve"> the </w:t>
      </w:r>
      <w:r w:rsidR="00555030" w:rsidRPr="00621720">
        <w:t xml:space="preserve">Technology and Economic Assessment </w:t>
      </w:r>
      <w:r w:rsidRPr="00621720">
        <w:t xml:space="preserve">Panel would provide </w:t>
      </w:r>
      <w:r w:rsidR="00555030" w:rsidRPr="00621720">
        <w:t xml:space="preserve">the group </w:t>
      </w:r>
      <w:r w:rsidRPr="00621720">
        <w:t xml:space="preserve">with clarifications on scenario 1 (c), and </w:t>
      </w:r>
      <w:r w:rsidR="00305861" w:rsidRPr="00621720">
        <w:t xml:space="preserve">that </w:t>
      </w:r>
      <w:r w:rsidRPr="00621720">
        <w:t>no further analysis would be requested</w:t>
      </w:r>
      <w:r w:rsidR="00305861" w:rsidRPr="00621720">
        <w:t xml:space="preserve"> at the current meeting</w:t>
      </w:r>
      <w:r w:rsidRPr="00621720">
        <w:t xml:space="preserve">. </w:t>
      </w:r>
    </w:p>
    <w:p w14:paraId="0213F333" w14:textId="01995978" w:rsidR="00CB5DB5" w:rsidRPr="00621720" w:rsidRDefault="00285A91" w:rsidP="00B5137A">
      <w:pPr>
        <w:pStyle w:val="Normalnumber"/>
        <w:tabs>
          <w:tab w:val="clear" w:pos="1247"/>
          <w:tab w:val="clear" w:pos="1814"/>
          <w:tab w:val="clear" w:pos="2381"/>
          <w:tab w:val="clear" w:pos="2948"/>
          <w:tab w:val="clear" w:pos="3515"/>
          <w:tab w:val="left" w:pos="624"/>
        </w:tabs>
        <w:ind w:left="1247"/>
      </w:pPr>
      <w:r w:rsidRPr="00621720">
        <w:rPr>
          <w:rFonts w:eastAsiaTheme="minorHAnsi"/>
          <w:kern w:val="2"/>
          <w14:ligatures w14:val="standardContextual"/>
        </w:rPr>
        <w:t>[to be completed]</w:t>
      </w:r>
    </w:p>
    <w:p w14:paraId="73CCECBD" w14:textId="46AB6ABA" w:rsidR="009426AA" w:rsidRPr="00621720" w:rsidRDefault="00CB5DB5" w:rsidP="00CB5DB5">
      <w:pPr>
        <w:pStyle w:val="CH2"/>
      </w:pPr>
      <w:r w:rsidRPr="00621720">
        <w:tab/>
        <w:t>B.</w:t>
      </w:r>
      <w:r w:rsidRPr="00621720">
        <w:tab/>
      </w:r>
      <w:r w:rsidR="009426AA" w:rsidRPr="00621720">
        <w:t xml:space="preserve">Extension of the fixed-exchange-rate mechanism for the triennium </w:t>
      </w:r>
      <w:r w:rsidR="00892128" w:rsidRPr="00621720">
        <w:br/>
      </w:r>
      <w:r w:rsidR="009426AA" w:rsidRPr="00621720">
        <w:t>2027–2029</w:t>
      </w:r>
    </w:p>
    <w:p w14:paraId="282F068C" w14:textId="59CBB84B" w:rsidR="00E579C2" w:rsidRPr="00621720" w:rsidRDefault="00E579C2" w:rsidP="00B5137A">
      <w:pPr>
        <w:pStyle w:val="Normalnumber"/>
        <w:tabs>
          <w:tab w:val="clear" w:pos="1247"/>
          <w:tab w:val="clear" w:pos="1814"/>
          <w:tab w:val="clear" w:pos="2381"/>
          <w:tab w:val="clear" w:pos="2948"/>
          <w:tab w:val="clear" w:pos="3515"/>
          <w:tab w:val="left" w:pos="624"/>
        </w:tabs>
        <w:ind w:left="1247"/>
      </w:pPr>
      <w:r w:rsidRPr="00621720">
        <w:t xml:space="preserve"> In considering the sub-item, parties had before them paragraphs 32–34 of the note by the secretariat on issues for discussion by and information for the attention of the Thirty-Eighth Meeting of the Parties to the Montreal Protocol (UNEP/OzL.Pro.38/2) and the note by the Secretariat on </w:t>
      </w:r>
      <w:r w:rsidR="008E7FB0" w:rsidRPr="00621720">
        <w:t xml:space="preserve">the </w:t>
      </w:r>
      <w:r w:rsidRPr="00621720">
        <w:t>scale of assessments, rates of exchange and average inflation rates for the period 2024–2026 for contributions by parties to the 2027–2029 replenishment of the Multilateral Fund (UNEP/OzL.Pro.38/INF/6). A draft decision on the matter was set out in document UNEP/OzL.Pro.38/3 (draft decision XXXVIII/[CCC]).</w:t>
      </w:r>
    </w:p>
    <w:p w14:paraId="38F9BE2F" w14:textId="7D594A02" w:rsidR="00E579C2" w:rsidRPr="00621720" w:rsidRDefault="00E579C2" w:rsidP="00B5137A">
      <w:pPr>
        <w:pStyle w:val="Normalnumber"/>
        <w:tabs>
          <w:tab w:val="clear" w:pos="1247"/>
          <w:tab w:val="clear" w:pos="1814"/>
          <w:tab w:val="clear" w:pos="2381"/>
          <w:tab w:val="clear" w:pos="2948"/>
          <w:tab w:val="clear" w:pos="3515"/>
          <w:tab w:val="left" w:pos="624"/>
        </w:tabs>
        <w:ind w:left="1247"/>
      </w:pPr>
      <w:r w:rsidRPr="00621720">
        <w:t>The parties agreed that the contact group on replenishment</w:t>
      </w:r>
      <w:r w:rsidR="00845B36" w:rsidRPr="00621720">
        <w:t>,</w:t>
      </w:r>
      <w:r w:rsidRPr="00621720">
        <w:t xml:space="preserve"> established under sub-item 4 (a)</w:t>
      </w:r>
      <w:r w:rsidR="00845B36" w:rsidRPr="00621720">
        <w:t>,</w:t>
      </w:r>
      <w:r w:rsidRPr="00621720">
        <w:t xml:space="preserve"> would also discuss the draft decision under the </w:t>
      </w:r>
      <w:r w:rsidR="00845B36" w:rsidRPr="00621720">
        <w:t>current</w:t>
      </w:r>
      <w:r w:rsidRPr="00621720">
        <w:t xml:space="preserve"> sub-item.</w:t>
      </w:r>
    </w:p>
    <w:p w14:paraId="178AB1A8" w14:textId="26ADD50F" w:rsidR="00CB5DB5" w:rsidRPr="00621720" w:rsidRDefault="004B47EF">
      <w:pPr>
        <w:pStyle w:val="Normalnumber"/>
        <w:tabs>
          <w:tab w:val="clear" w:pos="1247"/>
          <w:tab w:val="clear" w:pos="1814"/>
          <w:tab w:val="clear" w:pos="2381"/>
          <w:tab w:val="clear" w:pos="2948"/>
          <w:tab w:val="clear" w:pos="3515"/>
          <w:tab w:val="left" w:pos="624"/>
        </w:tabs>
        <w:ind w:left="1247"/>
      </w:pPr>
      <w:r w:rsidRPr="00621720">
        <w:t>[to be completed]</w:t>
      </w:r>
    </w:p>
    <w:p w14:paraId="17A2F397" w14:textId="50DF19AE" w:rsidR="009426AA" w:rsidRPr="00621720" w:rsidRDefault="00CB5DB5" w:rsidP="00CB5DB5">
      <w:pPr>
        <w:pStyle w:val="CH1"/>
      </w:pPr>
      <w:r w:rsidRPr="00621720">
        <w:tab/>
        <w:t>V.</w:t>
      </w:r>
      <w:r w:rsidRPr="00621720">
        <w:tab/>
      </w:r>
      <w:r w:rsidR="009426AA" w:rsidRPr="00621720">
        <w:t>Further strengthening Montreal Protocol institutions (UNEP/OzL.Pro.37/9, para. 166)</w:t>
      </w:r>
    </w:p>
    <w:p w14:paraId="1999C8E7" w14:textId="1DDA928D" w:rsidR="00E25E31" w:rsidRPr="00621720" w:rsidRDefault="00E25E31" w:rsidP="00E25E31">
      <w:pPr>
        <w:pStyle w:val="Normalnumber"/>
        <w:tabs>
          <w:tab w:val="clear" w:pos="1247"/>
          <w:tab w:val="clear" w:pos="1814"/>
          <w:tab w:val="clear" w:pos="2381"/>
          <w:tab w:val="clear" w:pos="2948"/>
          <w:tab w:val="clear" w:pos="3515"/>
          <w:tab w:val="left" w:pos="624"/>
        </w:tabs>
        <w:ind w:left="1247"/>
      </w:pPr>
      <w:r w:rsidRPr="00621720">
        <w:t>In considering the item, parties had before them paragraphs 35–41 of the note by the Secretariat on issues for discussion by and information for the attention of the Thirty-Eighth Meeting of the Parties to the Montreal Protocol (UNEP/OzL.Pro.38/2), paragraphs 5–65 of the addendum to the note by the Secretariat (</w:t>
      </w:r>
      <w:bookmarkStart w:id="6" w:name="_Hlk244525461"/>
      <w:r w:rsidRPr="00621720">
        <w:t>UNEP/OzL.Pro.38/2/Add.1</w:t>
      </w:r>
      <w:bookmarkEnd w:id="6"/>
      <w:r w:rsidRPr="00621720">
        <w:t>), and paragraphs 172–181 of the report of the forty-eighth meeting of the Open-ended Working Group</w:t>
      </w:r>
      <w:r w:rsidR="00B26C5B" w:rsidRPr="00621720">
        <w:t xml:space="preserve"> of the Parties to the Montreal Protocol</w:t>
      </w:r>
      <w:r w:rsidRPr="00621720">
        <w:t xml:space="preserve"> (UNEP/OzL.Pro.WG.1/48/5). Draft decisions on the matter were set out in document </w:t>
      </w:r>
      <w:bookmarkStart w:id="7" w:name="_Hlk244525437"/>
      <w:r w:rsidRPr="00621720">
        <w:t xml:space="preserve">UNEP/OzL.Pro.38/3 </w:t>
      </w:r>
      <w:bookmarkEnd w:id="7"/>
      <w:r w:rsidRPr="00621720">
        <w:t>(draft decisions XXXVIII/[AA] and XXXVIII/[BB]).</w:t>
      </w:r>
    </w:p>
    <w:p w14:paraId="3BBCFF04" w14:textId="5A729D5C" w:rsidR="00E25E31" w:rsidRPr="00621720" w:rsidRDefault="00E25E31" w:rsidP="00B5137A">
      <w:pPr>
        <w:pStyle w:val="Normalnumber"/>
        <w:tabs>
          <w:tab w:val="clear" w:pos="1247"/>
          <w:tab w:val="clear" w:pos="1814"/>
          <w:tab w:val="clear" w:pos="2381"/>
          <w:tab w:val="clear" w:pos="2948"/>
          <w:tab w:val="clear" w:pos="3515"/>
          <w:tab w:val="left" w:pos="624"/>
        </w:tabs>
        <w:ind w:left="1247"/>
        <w:rPr>
          <w:lang w:val="en-US"/>
        </w:rPr>
      </w:pPr>
      <w:r w:rsidRPr="00621720">
        <w:rPr>
          <w:lang w:val="en-US"/>
        </w:rPr>
        <w:t xml:space="preserve">The Co-Chair recalled that, at the forty-eighth meeting of the Working Group, two proposals for draft decisions had been introduced under the equivalent agenda item, one on strengthening Montreal </w:t>
      </w:r>
      <w:r w:rsidRPr="00621720">
        <w:t>Protocol</w:t>
      </w:r>
      <w:r w:rsidRPr="00621720">
        <w:rPr>
          <w:lang w:val="en-US"/>
        </w:rPr>
        <w:t xml:space="preserve"> operations, submitted by Cameroon on behalf of the Group of African States</w:t>
      </w:r>
      <w:r w:rsidR="008E7FB0" w:rsidRPr="00621720">
        <w:rPr>
          <w:lang w:val="en-US"/>
        </w:rPr>
        <w:t>,</w:t>
      </w:r>
      <w:r w:rsidRPr="00621720">
        <w:rPr>
          <w:lang w:val="en-US"/>
        </w:rPr>
        <w:t xml:space="preserve"> and another by Canada, also on behalf of Australia, the European Union, Norway and Switzerland. The Working Group had agreed to forward both draft decisions for consideration at the current meeting </w:t>
      </w:r>
      <w:r w:rsidRPr="00621720">
        <w:rPr>
          <w:lang w:val="en-US"/>
        </w:rPr>
        <w:lastRenderedPageBreak/>
        <w:t xml:space="preserve">and had requested the Secretariat to provide information on actions that had been taken or were in progress in relation to the operative paragraphs in both proposals, </w:t>
      </w:r>
      <w:proofErr w:type="gramStart"/>
      <w:r w:rsidRPr="00621720">
        <w:rPr>
          <w:lang w:val="en-US"/>
        </w:rPr>
        <w:t>or</w:t>
      </w:r>
      <w:proofErr w:type="gramEnd"/>
      <w:r w:rsidRPr="00621720">
        <w:rPr>
          <w:lang w:val="en-US"/>
        </w:rPr>
        <w:t xml:space="preserve">, where relevant, to indicate that no such information existed. The two draft decisions had been included in document </w:t>
      </w:r>
      <w:r w:rsidRPr="00621720">
        <w:t>UNEP/OzL.Pro.38/3</w:t>
      </w:r>
      <w:r w:rsidRPr="00621720">
        <w:rPr>
          <w:lang w:val="en-US"/>
        </w:rPr>
        <w:t xml:space="preserve">, and the information from the Secretariat was set out in document </w:t>
      </w:r>
      <w:r w:rsidRPr="00621720">
        <w:t>UNEP/OzL.Pro.38/2/Add.1</w:t>
      </w:r>
      <w:r w:rsidRPr="00621720">
        <w:rPr>
          <w:lang w:val="en-US"/>
        </w:rPr>
        <w:t>.</w:t>
      </w:r>
    </w:p>
    <w:p w14:paraId="5C8FFFAA" w14:textId="6FEB18ED" w:rsidR="00E25E31" w:rsidRPr="00621720" w:rsidRDefault="00E25E31" w:rsidP="00E25E31">
      <w:pPr>
        <w:pStyle w:val="Normalnumber"/>
        <w:tabs>
          <w:tab w:val="clear" w:pos="1247"/>
          <w:tab w:val="clear" w:pos="1814"/>
          <w:tab w:val="clear" w:pos="2381"/>
          <w:tab w:val="clear" w:pos="2948"/>
          <w:tab w:val="clear" w:pos="3515"/>
          <w:tab w:val="left" w:pos="624"/>
        </w:tabs>
        <w:ind w:left="1247"/>
      </w:pPr>
      <w:r w:rsidRPr="00621720">
        <w:t xml:space="preserve"> </w:t>
      </w:r>
      <w:bookmarkStart w:id="8" w:name="_Hlk244525761"/>
      <w:bookmarkStart w:id="9" w:name="_Hlk244525764"/>
      <w:r w:rsidRPr="00621720">
        <w:t xml:space="preserve">Introducing </w:t>
      </w:r>
      <w:r w:rsidR="00127D4D" w:rsidRPr="00621720">
        <w:t>the</w:t>
      </w:r>
      <w:r w:rsidRPr="00621720">
        <w:t xml:space="preserve"> proposal for a draft decision</w:t>
      </w:r>
      <w:bookmarkEnd w:id="8"/>
      <w:r w:rsidR="00127D4D" w:rsidRPr="00621720">
        <w:t xml:space="preserve"> submitted by Cameroon on behalf of the Group of African States</w:t>
      </w:r>
      <w:r w:rsidRPr="00621720">
        <w:t xml:space="preserve">, the representative of </w:t>
      </w:r>
      <w:bookmarkEnd w:id="9"/>
      <w:r w:rsidRPr="00621720">
        <w:t>Cameroon observed that he had carefully read the information provided by the Secretariat and had conducted consultations with other parties. He looked forward to discussing the proposals with other parties in a contact group.</w:t>
      </w:r>
    </w:p>
    <w:p w14:paraId="1B4FF3FA" w14:textId="4AD9BDCC" w:rsidR="00E25E31" w:rsidRPr="00621720" w:rsidRDefault="00E25E31" w:rsidP="00B5137A">
      <w:pPr>
        <w:pStyle w:val="Normalnumber"/>
        <w:tabs>
          <w:tab w:val="clear" w:pos="1247"/>
          <w:tab w:val="clear" w:pos="1814"/>
          <w:tab w:val="clear" w:pos="2381"/>
          <w:tab w:val="clear" w:pos="2948"/>
          <w:tab w:val="clear" w:pos="3515"/>
          <w:tab w:val="left" w:pos="624"/>
        </w:tabs>
        <w:ind w:left="1247"/>
      </w:pPr>
      <w:r w:rsidRPr="00621720">
        <w:t xml:space="preserve">Introducing </w:t>
      </w:r>
      <w:r w:rsidR="00127D4D" w:rsidRPr="00621720">
        <w:t>the</w:t>
      </w:r>
      <w:r w:rsidRPr="00621720">
        <w:t xml:space="preserve"> proposal for a draft decision</w:t>
      </w:r>
      <w:r w:rsidR="00127D4D" w:rsidRPr="00621720">
        <w:t xml:space="preserve"> submitted by Canada, also on behalf of Australia, the European Union, Norway and Switzerland</w:t>
      </w:r>
      <w:r w:rsidRPr="00621720">
        <w:t>, the representative of Canada explained that it</w:t>
      </w:r>
      <w:r w:rsidR="00127D4D" w:rsidRPr="00621720">
        <w:t xml:space="preserve"> was</w:t>
      </w:r>
      <w:r w:rsidRPr="00621720">
        <w:t xml:space="preserve"> aimed </w:t>
      </w:r>
      <w:r w:rsidR="00127D4D" w:rsidRPr="00621720">
        <w:t>at</w:t>
      </w:r>
      <w:r w:rsidRPr="00621720">
        <w:t xml:space="preserve"> highlight</w:t>
      </w:r>
      <w:r w:rsidR="00127D4D" w:rsidRPr="00621720">
        <w:t>ing</w:t>
      </w:r>
      <w:r w:rsidRPr="00621720">
        <w:t xml:space="preserve"> the importance of effective import and export licensing systems in preventing illegal trade in controlled substances and facilitating compliance with the Montreal Protocol. She said that she recognized the complementary nature of the two draft decisions; while </w:t>
      </w:r>
      <w:r w:rsidR="00127D4D" w:rsidRPr="00621720">
        <w:t>one</w:t>
      </w:r>
      <w:r w:rsidRPr="00621720">
        <w:t xml:space="preserve"> focused on strengthening existing provisions of the Protocol, the other emphasized the need for enhanced guidance, tools, training and capacity-building to support parties in meeting those requirements. She expressed the view that the two proposals could be </w:t>
      </w:r>
      <w:proofErr w:type="gramStart"/>
      <w:r w:rsidRPr="00621720">
        <w:t>combined, and</w:t>
      </w:r>
      <w:proofErr w:type="gramEnd"/>
      <w:r w:rsidRPr="00621720">
        <w:t xml:space="preserve"> said that she looked forward to discussing the best way forward with other parties in a contact group.</w:t>
      </w:r>
    </w:p>
    <w:p w14:paraId="654F81C7" w14:textId="3576BBA5" w:rsidR="00E25E31" w:rsidRPr="00621720" w:rsidRDefault="00E25E31" w:rsidP="00B5137A">
      <w:pPr>
        <w:pStyle w:val="Normalnumber"/>
        <w:tabs>
          <w:tab w:val="clear" w:pos="1247"/>
          <w:tab w:val="clear" w:pos="1814"/>
          <w:tab w:val="clear" w:pos="2381"/>
          <w:tab w:val="clear" w:pos="2948"/>
          <w:tab w:val="clear" w:pos="3515"/>
          <w:tab w:val="left" w:pos="624"/>
        </w:tabs>
        <w:ind w:left="1247"/>
      </w:pPr>
      <w:r w:rsidRPr="00621720">
        <w:t xml:space="preserve">The </w:t>
      </w:r>
      <w:r w:rsidR="00845B36" w:rsidRPr="00621720">
        <w:t>parties</w:t>
      </w:r>
      <w:r w:rsidRPr="00621720">
        <w:t xml:space="preserve"> agreed to establish a contact group, co-chaired by Liana </w:t>
      </w:r>
      <w:proofErr w:type="spellStart"/>
      <w:r w:rsidRPr="00621720">
        <w:t>Ghahramanyan</w:t>
      </w:r>
      <w:proofErr w:type="spellEnd"/>
      <w:r w:rsidRPr="00621720">
        <w:t xml:space="preserve"> (Armenia) and Paul Krajnik (Austria), </w:t>
      </w:r>
      <w:r w:rsidR="00845B36" w:rsidRPr="00621720">
        <w:t>to consider the two draft decisions</w:t>
      </w:r>
      <w:r w:rsidRPr="00621720">
        <w:t>.</w:t>
      </w:r>
    </w:p>
    <w:p w14:paraId="598BB866" w14:textId="74576914" w:rsidR="00CB5DB5"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6167B51B" w14:textId="0F818838" w:rsidR="009426AA" w:rsidRPr="00621720" w:rsidRDefault="00CB5DB5" w:rsidP="00CB5DB5">
      <w:pPr>
        <w:pStyle w:val="CH1"/>
      </w:pPr>
      <w:r w:rsidRPr="00621720">
        <w:tab/>
        <w:t>VI.</w:t>
      </w:r>
      <w:r w:rsidRPr="00621720">
        <w:tab/>
      </w:r>
      <w:r w:rsidR="009426AA" w:rsidRPr="00621720">
        <w:t>Ensuring the viability of Montreal Protocol operations (decision</w:t>
      </w:r>
      <w:r w:rsidR="00892128" w:rsidRPr="00621720">
        <w:t> </w:t>
      </w:r>
      <w:r w:rsidR="009426AA" w:rsidRPr="00621720">
        <w:t>XXXVII/7)</w:t>
      </w:r>
    </w:p>
    <w:p w14:paraId="7DF3BBA6" w14:textId="2E3F32CE" w:rsidR="00E25E31" w:rsidRPr="00621720" w:rsidRDefault="00E25E31" w:rsidP="00B5137A">
      <w:pPr>
        <w:pStyle w:val="Normalnumber"/>
        <w:tabs>
          <w:tab w:val="clear" w:pos="1247"/>
          <w:tab w:val="clear" w:pos="1814"/>
          <w:tab w:val="clear" w:pos="2381"/>
          <w:tab w:val="clear" w:pos="2948"/>
          <w:tab w:val="clear" w:pos="3515"/>
          <w:tab w:val="left" w:pos="624"/>
        </w:tabs>
        <w:ind w:left="1247"/>
      </w:pPr>
      <w:r w:rsidRPr="00621720">
        <w:t>In considering the item, parties had before them paragraphs 42–48 of the note by the Secretariat on issues for discussion by and information for the attention of the Thirty-Eighth Meeting of the Parties to the Montreal Protocol (</w:t>
      </w:r>
      <w:bookmarkStart w:id="10" w:name="_Hlk244526848"/>
      <w:r w:rsidRPr="00621720">
        <w:t>UNEP/OzL.Pro.38/2</w:t>
      </w:r>
      <w:bookmarkEnd w:id="10"/>
      <w:r w:rsidRPr="00621720">
        <w:t>), the supplementary report on ensuring the viability of Montreal Protocol operations (</w:t>
      </w:r>
      <w:bookmarkStart w:id="11" w:name="_Hlk244532228"/>
      <w:r w:rsidRPr="00621720">
        <w:t>UNEP/OzL.Pro.38/7</w:t>
      </w:r>
      <w:bookmarkEnd w:id="11"/>
      <w:r w:rsidRPr="00621720">
        <w:t xml:space="preserve">), the report prepared for the </w:t>
      </w:r>
      <w:bookmarkStart w:id="12" w:name="_Hlk244526137"/>
      <w:r w:rsidRPr="00621720">
        <w:t>forty-eighth meeting of the Open-ended Working Group</w:t>
      </w:r>
      <w:bookmarkEnd w:id="12"/>
      <w:r w:rsidRPr="00621720">
        <w:t xml:space="preserve"> on ensuring the viability of Montreal Protocol operations: scenarios, options and cost estimates (</w:t>
      </w:r>
      <w:bookmarkStart w:id="13" w:name="_Hlk244527369"/>
      <w:r w:rsidRPr="00621720">
        <w:t xml:space="preserve">UNEP/OzL.Pro.WG.1/48/4) </w:t>
      </w:r>
      <w:bookmarkEnd w:id="13"/>
      <w:r w:rsidRPr="00621720">
        <w:t xml:space="preserve">and the addendum thereto (UNEP/OzL.Pro.WG.1/48/4/Add.1), and paragraphs 154–164 of the report of the forty-eighth meeting of the Open-ended Working Group (UNEP/OzL.Pro.WG.1/48/5). </w:t>
      </w:r>
    </w:p>
    <w:p w14:paraId="0A72DCB3" w14:textId="30EA0954" w:rsidR="00E25E31" w:rsidRPr="00621720" w:rsidRDefault="00E25E31" w:rsidP="00E25E31">
      <w:pPr>
        <w:pStyle w:val="Normalnumber"/>
        <w:tabs>
          <w:tab w:val="clear" w:pos="1247"/>
          <w:tab w:val="clear" w:pos="1814"/>
          <w:tab w:val="clear" w:pos="2381"/>
          <w:tab w:val="clear" w:pos="2948"/>
          <w:tab w:val="clear" w:pos="3515"/>
          <w:tab w:val="left" w:pos="624"/>
        </w:tabs>
        <w:ind w:left="1247"/>
      </w:pPr>
      <w:r w:rsidRPr="00621720">
        <w:t xml:space="preserve">Introducing the item, the Co-Chair recalled that, at the forty-eighth meeting of the </w:t>
      </w:r>
      <w:bookmarkStart w:id="14" w:name="_Hlk244532007"/>
      <w:r w:rsidRPr="00621720">
        <w:t>Working Group</w:t>
      </w:r>
      <w:bookmarkEnd w:id="14"/>
      <w:r w:rsidRPr="00621720">
        <w:t>, a contact group had considered the two documents that had been prepared by the Secretariat in response to decision XXXVII/7. Those documents had set out options for making effective and efficient changes, with associated cost estimates, to the timing of</w:t>
      </w:r>
      <w:r w:rsidR="0048220A" w:rsidRPr="00621720">
        <w:t>,</w:t>
      </w:r>
      <w:r w:rsidRPr="00621720">
        <w:t xml:space="preserve"> Secretariat support for and length of Meetings of the Parties, </w:t>
      </w:r>
      <w:r w:rsidR="00C63D0C" w:rsidRPr="00621720">
        <w:t xml:space="preserve">and </w:t>
      </w:r>
      <w:r w:rsidRPr="00621720">
        <w:t>meetings of the Working Group, the Implementation Committee and the assessment panels, and the timing of replenishment decisions. The contact group had also discussed proposals that had been put forward during discussions in the plenary sessions of the Working Group.</w:t>
      </w:r>
    </w:p>
    <w:p w14:paraId="73896936" w14:textId="091DFF9E" w:rsidR="00E25E31" w:rsidRPr="00621720" w:rsidRDefault="00E25E31" w:rsidP="00E25E31">
      <w:pPr>
        <w:pStyle w:val="Normalnumber"/>
        <w:tabs>
          <w:tab w:val="clear" w:pos="1247"/>
          <w:tab w:val="clear" w:pos="1814"/>
          <w:tab w:val="clear" w:pos="2381"/>
          <w:tab w:val="clear" w:pos="2948"/>
          <w:tab w:val="clear" w:pos="3515"/>
          <w:tab w:val="left" w:pos="624"/>
        </w:tabs>
        <w:ind w:left="1247"/>
      </w:pPr>
      <w:r w:rsidRPr="00621720">
        <w:t>The Working Group had agreed to invite parties to submit any additional questions by 31 August and to resume its discussions at the current meeting, taking into account the questions raised during the contact group discussions and others received subsequently, which were all included in the supplementary report prepared by the Secretariat (UNEP/OzL.Pro.38/7).</w:t>
      </w:r>
    </w:p>
    <w:p w14:paraId="79962091" w14:textId="63A10C94" w:rsidR="00E25E31" w:rsidRPr="00621720" w:rsidRDefault="00E25E31" w:rsidP="00E25E31">
      <w:pPr>
        <w:pStyle w:val="Normalnumber"/>
        <w:tabs>
          <w:tab w:val="clear" w:pos="1247"/>
          <w:tab w:val="clear" w:pos="1814"/>
          <w:tab w:val="clear" w:pos="2381"/>
          <w:tab w:val="clear" w:pos="2948"/>
          <w:tab w:val="clear" w:pos="3515"/>
          <w:tab w:val="left" w:pos="624"/>
        </w:tabs>
        <w:ind w:left="1247"/>
      </w:pPr>
      <w:r w:rsidRPr="00621720">
        <w:t>All the representatives who took the floor thanked the Secretariat for its hard work in preparing the original and the supplementary reports. They all stressed the need to build on the success of the Montreal Protocol and maintain its effectiveness, inclusive nature and financial sustainability</w:t>
      </w:r>
      <w:r w:rsidR="00845B36" w:rsidRPr="00621720">
        <w:t>. They</w:t>
      </w:r>
      <w:r w:rsidRPr="00621720">
        <w:t xml:space="preserve"> recognized that the Protocol worked well and delivered results, </w:t>
      </w:r>
      <w:r w:rsidR="00845B36" w:rsidRPr="00621720">
        <w:t>emphasizing</w:t>
      </w:r>
      <w:r w:rsidRPr="00621720">
        <w:t xml:space="preserve"> that they had no desire to undermine its </w:t>
      </w:r>
      <w:r w:rsidR="00845B36" w:rsidRPr="00621720">
        <w:t>achievements</w:t>
      </w:r>
      <w:r w:rsidRPr="00621720">
        <w:t xml:space="preserve">. </w:t>
      </w:r>
    </w:p>
    <w:p w14:paraId="0F6C66B8" w14:textId="5DBDAA96" w:rsidR="00E25E31" w:rsidRPr="00621720" w:rsidRDefault="00E25E31" w:rsidP="00E25E31">
      <w:pPr>
        <w:pStyle w:val="Normalnumber"/>
        <w:tabs>
          <w:tab w:val="clear" w:pos="1247"/>
          <w:tab w:val="clear" w:pos="1814"/>
          <w:tab w:val="clear" w:pos="2381"/>
          <w:tab w:val="clear" w:pos="2948"/>
          <w:tab w:val="clear" w:pos="3515"/>
          <w:tab w:val="left" w:pos="624"/>
        </w:tabs>
        <w:ind w:left="1247"/>
      </w:pPr>
      <w:r w:rsidRPr="00621720">
        <w:t xml:space="preserve">One representative </w:t>
      </w:r>
      <w:r w:rsidR="00845B36" w:rsidRPr="00621720">
        <w:t>underscored</w:t>
      </w:r>
      <w:r w:rsidRPr="00621720">
        <w:t xml:space="preserve"> the need to ensure that public funds were used as efficiently as possible, for the Montreal Protocol just as much as for any other publicly funded activity. There was a need to look at new tools that might enable parties to achieve their aims more cost-effectively, for example using AI tools for</w:t>
      </w:r>
      <w:r w:rsidR="00845B36" w:rsidRPr="00621720">
        <w:t xml:space="preserve"> document translation</w:t>
      </w:r>
      <w:r w:rsidRPr="00621720">
        <w:t>. Similarly, while parties’ experience of online meetings during the coronavirus disease (COVID-19) pandemic had demonstrated their shortcomings when decisions had to be reached, an online format could be appropriate to information-sharing sessions or to meetings of smaller groups.</w:t>
      </w:r>
    </w:p>
    <w:p w14:paraId="4CAD670D" w14:textId="77777777" w:rsidR="00E25E31" w:rsidRPr="00621720" w:rsidRDefault="00E25E31" w:rsidP="00E25E31">
      <w:pPr>
        <w:pStyle w:val="Normalnumber"/>
        <w:tabs>
          <w:tab w:val="clear" w:pos="1247"/>
          <w:tab w:val="clear" w:pos="1814"/>
          <w:tab w:val="clear" w:pos="2381"/>
          <w:tab w:val="clear" w:pos="2948"/>
          <w:tab w:val="clear" w:pos="3515"/>
          <w:tab w:val="left" w:pos="624"/>
        </w:tabs>
        <w:ind w:left="1247"/>
      </w:pPr>
      <w:r w:rsidRPr="00621720">
        <w:lastRenderedPageBreak/>
        <w:t>Many representatives stressed their willingness to consider measures that improved the operations of the Montreal Protocol without diminishing its effectiveness and sustainability</w:t>
      </w:r>
      <w:proofErr w:type="gramStart"/>
      <w:r w:rsidRPr="00621720">
        <w:t>, and in particular</w:t>
      </w:r>
      <w:proofErr w:type="gramEnd"/>
      <w:r w:rsidRPr="00621720">
        <w:t xml:space="preserve"> its collaborative, inclusive and participatory nature. </w:t>
      </w:r>
    </w:p>
    <w:p w14:paraId="33573F21" w14:textId="77777777" w:rsidR="00E25E31" w:rsidRPr="00621720" w:rsidRDefault="00E25E31" w:rsidP="00E25E31">
      <w:pPr>
        <w:pStyle w:val="Normalnumber"/>
        <w:tabs>
          <w:tab w:val="clear" w:pos="1247"/>
          <w:tab w:val="clear" w:pos="1814"/>
          <w:tab w:val="clear" w:pos="2381"/>
          <w:tab w:val="clear" w:pos="2948"/>
          <w:tab w:val="clear" w:pos="3515"/>
          <w:tab w:val="left" w:pos="624"/>
        </w:tabs>
        <w:ind w:left="1247"/>
      </w:pPr>
      <w:r w:rsidRPr="00621720">
        <w:t xml:space="preserve">Several representatives cautioned against adopting any measures that could undermine the historic success of the Montreal Protocol over more than three decades, which, they said, was a result of its robust, inclusive and responsive institutional architecture. While there was no objection to cutting costs by improving management and boosting efficiency, it was essential for any reforms to enhance long-term resilience, inclusive participation, particularly by developing countries, and effective implementation, not simply to cut spending. </w:t>
      </w:r>
    </w:p>
    <w:p w14:paraId="351DB3EC" w14:textId="77777777" w:rsidR="00E25E31" w:rsidRPr="00621720" w:rsidRDefault="00E25E31" w:rsidP="00E25E31">
      <w:pPr>
        <w:pStyle w:val="Normalnumber"/>
        <w:tabs>
          <w:tab w:val="clear" w:pos="1247"/>
          <w:tab w:val="clear" w:pos="1814"/>
          <w:tab w:val="clear" w:pos="2381"/>
          <w:tab w:val="clear" w:pos="2948"/>
          <w:tab w:val="clear" w:pos="3515"/>
          <w:tab w:val="left" w:pos="624"/>
        </w:tabs>
        <w:ind w:left="1247"/>
      </w:pPr>
      <w:r w:rsidRPr="00621720">
        <w:t xml:space="preserve">One representative emphasized that many challenges remained to be met, including the ongoing implementation of the Kigali Amendment, atmospheric monitoring, ongoing emissions, and issues arising from the quadrennial reports, such as emissions of per- and polyfluoroalkyl substances (PFAS) and nitrous oxide. The quadrennial assessments due to be published in 2027 would provide further scientific and technical insights and might identify additional issues requiring parties’ attention. </w:t>
      </w:r>
    </w:p>
    <w:p w14:paraId="4F8C43E5" w14:textId="24A10BE7" w:rsidR="00E25E31" w:rsidRPr="00621720" w:rsidRDefault="00E25E31" w:rsidP="00E25E31">
      <w:pPr>
        <w:pStyle w:val="Normalnumber"/>
        <w:tabs>
          <w:tab w:val="clear" w:pos="1247"/>
          <w:tab w:val="clear" w:pos="1814"/>
          <w:tab w:val="clear" w:pos="2381"/>
          <w:tab w:val="clear" w:pos="2948"/>
          <w:tab w:val="clear" w:pos="3515"/>
          <w:tab w:val="left" w:pos="624"/>
        </w:tabs>
        <w:ind w:left="1247"/>
      </w:pPr>
      <w:proofErr w:type="gramStart"/>
      <w:r w:rsidRPr="00621720">
        <w:t>A number of</w:t>
      </w:r>
      <w:proofErr w:type="gramEnd"/>
      <w:r w:rsidRPr="00621720">
        <w:t xml:space="preserve"> representatives expressed their openness to consider</w:t>
      </w:r>
      <w:r w:rsidR="001838E9" w:rsidRPr="00621720">
        <w:t>ing</w:t>
      </w:r>
      <w:r w:rsidRPr="00621720">
        <w:t xml:space="preserve"> the options put forward in the Secretariat’s reports for changing the frequency of meetings and the wider use of online meetings where appropriate. </w:t>
      </w:r>
    </w:p>
    <w:p w14:paraId="531575E4" w14:textId="7A21D957" w:rsidR="00E25E31" w:rsidRPr="00621720" w:rsidRDefault="00E25E31" w:rsidP="00E25E31">
      <w:pPr>
        <w:pStyle w:val="Normalnumber"/>
        <w:tabs>
          <w:tab w:val="clear" w:pos="1247"/>
          <w:tab w:val="clear" w:pos="1814"/>
          <w:tab w:val="clear" w:pos="2381"/>
          <w:tab w:val="clear" w:pos="2948"/>
          <w:tab w:val="clear" w:pos="3515"/>
          <w:tab w:val="left" w:pos="624"/>
        </w:tabs>
        <w:ind w:left="1247"/>
      </w:pPr>
      <w:r w:rsidRPr="00621720">
        <w:t xml:space="preserve">Several representatives stressed the need to continue the current frequency of meetings, which provided the necessary rhythm for rigorous technical review, policy negotiation and compliance monitoring. Reducing the frequency of meetings just as Article 5 parties were approaching the deadlines for the implementation of their obligations under the Kigali Amendment risked creating a severe backlog of policy decisions and limiting the capacity of the Implementation Committee to provide the necessary oversight. </w:t>
      </w:r>
    </w:p>
    <w:p w14:paraId="79589387" w14:textId="77777777" w:rsidR="00E25E31" w:rsidRPr="00621720" w:rsidRDefault="00E25E31" w:rsidP="00E25E31">
      <w:pPr>
        <w:pStyle w:val="Normalnumber"/>
        <w:tabs>
          <w:tab w:val="clear" w:pos="1247"/>
          <w:tab w:val="clear" w:pos="1814"/>
          <w:tab w:val="clear" w:pos="2381"/>
          <w:tab w:val="clear" w:pos="2948"/>
          <w:tab w:val="clear" w:pos="3515"/>
          <w:tab w:val="left" w:pos="624"/>
        </w:tabs>
      </w:pPr>
      <w:proofErr w:type="gramStart"/>
      <w:r w:rsidRPr="00621720">
        <w:t>A number of</w:t>
      </w:r>
      <w:proofErr w:type="gramEnd"/>
      <w:r w:rsidRPr="00621720">
        <w:t xml:space="preserve"> representatives also cautioned against overreliance on online meetings, which, while they appeared to offer cost savings, could also introduce imbalances in participation due to differences in time zones and local connectivity challenges. The opportunity offered by in-person meetings for informal face-to-face consultations was critical to building consensus.</w:t>
      </w:r>
    </w:p>
    <w:p w14:paraId="56208ADE" w14:textId="77777777" w:rsidR="00E25E31" w:rsidRPr="00621720" w:rsidRDefault="00E25E31" w:rsidP="00E25E31">
      <w:pPr>
        <w:pStyle w:val="Normalnumber"/>
        <w:tabs>
          <w:tab w:val="clear" w:pos="1247"/>
          <w:tab w:val="clear" w:pos="1814"/>
          <w:tab w:val="clear" w:pos="2381"/>
          <w:tab w:val="clear" w:pos="2948"/>
          <w:tab w:val="clear" w:pos="3515"/>
          <w:tab w:val="left" w:pos="624"/>
        </w:tabs>
        <w:ind w:left="1247"/>
      </w:pPr>
      <w:r w:rsidRPr="00621720">
        <w:t>Some representatives, however, stated their openness to adopting online meeting formats for information-sharing or meetings of smaller bodies such as the Bureau or the Implementation Committee. They agreed that the main negotiating meetings needed to remain in-person, to ensure effective discussion, consensus-building and the meaningful participation of all parties, particularly Article 5 parties.</w:t>
      </w:r>
    </w:p>
    <w:p w14:paraId="397C44FC" w14:textId="76DE42D9" w:rsidR="00E25E31" w:rsidRPr="00621720" w:rsidRDefault="00E25E31" w:rsidP="00E25E31">
      <w:pPr>
        <w:pStyle w:val="Normalnumber"/>
        <w:tabs>
          <w:tab w:val="clear" w:pos="1247"/>
          <w:tab w:val="clear" w:pos="1814"/>
          <w:tab w:val="clear" w:pos="2381"/>
          <w:tab w:val="clear" w:pos="2948"/>
          <w:tab w:val="clear" w:pos="3515"/>
          <w:tab w:val="left" w:pos="624"/>
        </w:tabs>
        <w:ind w:left="1247"/>
      </w:pPr>
      <w:r w:rsidRPr="00621720">
        <w:t>One representative said that moving from a three</w:t>
      </w:r>
      <w:r w:rsidR="00633AC8" w:rsidRPr="00621720">
        <w:t>-</w:t>
      </w:r>
      <w:r w:rsidRPr="00621720">
        <w:t xml:space="preserve"> to a four-year replenishment cycle for the Multilateral Fund would increase efficiency and predictability, while saving some costs. Others disagreed, stating that the three-year cycle should be retained.</w:t>
      </w:r>
    </w:p>
    <w:p w14:paraId="6F6F4552" w14:textId="6485FA1E" w:rsidR="00E25E31" w:rsidRPr="00621720" w:rsidRDefault="00E25E31" w:rsidP="00E25E31">
      <w:pPr>
        <w:pStyle w:val="Normalnumber"/>
        <w:tabs>
          <w:tab w:val="left" w:pos="624"/>
        </w:tabs>
      </w:pPr>
      <w:r w:rsidRPr="00621720">
        <w:t xml:space="preserve">One representative observed that Meetings of the Parties had tended to place too many burdens on the assessment panels and technical options committees, which inflated their workloads and </w:t>
      </w:r>
      <w:r w:rsidR="005176A2" w:rsidRPr="00621720">
        <w:t xml:space="preserve">the </w:t>
      </w:r>
      <w:r w:rsidRPr="00621720">
        <w:t>associated costs. Another said that the reporting frequency of some of the technical options committees could possibly be reduced, thus also saving meeting costs. Both representatives were open to reviewing the assessment process, including the frequency of reports, while safeguarding the participation of experts, especially from Article 5 parties. Other representatives said that any changes to the frequency of reports could delay the availability of new scientific and technical information.</w:t>
      </w:r>
    </w:p>
    <w:p w14:paraId="1AC34976" w14:textId="62406FB3" w:rsidR="00E25E31" w:rsidRPr="00621720" w:rsidRDefault="00E25E31" w:rsidP="00E25E31">
      <w:pPr>
        <w:pStyle w:val="Normalnumber"/>
        <w:tabs>
          <w:tab w:val="left" w:pos="624"/>
        </w:tabs>
      </w:pPr>
      <w:r w:rsidRPr="00621720">
        <w:t xml:space="preserve">One representative commented that the Secretariat delivered high-quality work with a small staff compared to those of other conventions. She said that she opposed any further cuts in staff </w:t>
      </w:r>
      <w:proofErr w:type="gramStart"/>
      <w:r w:rsidRPr="00621720">
        <w:t>numbers, and</w:t>
      </w:r>
      <w:proofErr w:type="gramEnd"/>
      <w:r w:rsidRPr="00621720">
        <w:t xml:space="preserve"> argued for the Secretariat’s workload to be planned more rationally to avoid </w:t>
      </w:r>
      <w:r w:rsidR="00845B36" w:rsidRPr="00621720">
        <w:t>staff</w:t>
      </w:r>
      <w:r w:rsidRPr="00621720">
        <w:t xml:space="preserve"> undertaking repetitive tasks. The Secretariat could also do more to encourage parties to use tools such as the annually updated </w:t>
      </w:r>
      <w:r w:rsidRPr="00621720">
        <w:rPr>
          <w:i/>
          <w:iCs/>
        </w:rPr>
        <w:t>Handbook for the Montreal Protocol</w:t>
      </w:r>
      <w:r w:rsidRPr="00621720">
        <w:t>, which could improve efficiency.</w:t>
      </w:r>
    </w:p>
    <w:p w14:paraId="50E5F248" w14:textId="77777777" w:rsidR="00E25E31" w:rsidRPr="00621720" w:rsidRDefault="00E25E31" w:rsidP="00E25E31">
      <w:pPr>
        <w:pStyle w:val="Normalnumber"/>
      </w:pPr>
      <w:r w:rsidRPr="00621720">
        <w:t>Many representatives stressed the need for parties to pay their contributions to the Montreal Protocol Trust Fund promptly and in full. Some observed that changing the operations of the Montreal Protocol was not a substitute for addressing the problem of insufficient contributions. One representative observed that continuing to use the Trust Fund’s cash balances to offset inadequate contributions from parties was not sustainable. Based on modelling by the Secretariat, it was clear that the cash balance would fall below the required 15 per cent balance in a few years’ time.</w:t>
      </w:r>
    </w:p>
    <w:p w14:paraId="208C99C3" w14:textId="77777777" w:rsidR="00E25E31" w:rsidRPr="00621720" w:rsidRDefault="00E25E31" w:rsidP="00E25E31">
      <w:pPr>
        <w:pStyle w:val="Normalnumber"/>
      </w:pPr>
      <w:r w:rsidRPr="00621720">
        <w:t xml:space="preserve">Some representatives stressed the importance of maintaining interpretation in the six official languages of the United Nations during meetings. Using only one or two working languages would not be acceptable. </w:t>
      </w:r>
    </w:p>
    <w:p w14:paraId="4CF38D01" w14:textId="64C0A3C7" w:rsidR="00E25E31" w:rsidRPr="00621720" w:rsidRDefault="00E25E31" w:rsidP="00E25E31">
      <w:pPr>
        <w:pStyle w:val="Normalnumber"/>
      </w:pPr>
      <w:r w:rsidRPr="00621720">
        <w:lastRenderedPageBreak/>
        <w:t>One representative said that while his party saw scope for AI-assisted translation of documents, it would be important to retain human oversight. Another cautioned that its use could raise substantial challenges to the credibility and security of the process.</w:t>
      </w:r>
    </w:p>
    <w:p w14:paraId="36753DEC" w14:textId="419A0B0A" w:rsidR="00E25E31" w:rsidRPr="00621720" w:rsidRDefault="00E25E31" w:rsidP="00E25E31">
      <w:pPr>
        <w:pStyle w:val="Normalnumber"/>
      </w:pPr>
      <w:r w:rsidRPr="00621720">
        <w:t>A number of representatives observed that since it would be important to ensure that efficiency did not come at the expense of inclusivity or participation, there was a need to trial measures, with clear review points to assess their effectiveness, the savings achieved and any wider impacts, before determining any longer-term arrangements. One representative said that it would be premature to pursue significant structural changes until the implications of the UN80 Initiative were clearer.</w:t>
      </w:r>
    </w:p>
    <w:p w14:paraId="4AD5696A" w14:textId="1D749716" w:rsidR="00E25E31" w:rsidRPr="00621720" w:rsidRDefault="00E25E31" w:rsidP="00E25E31">
      <w:pPr>
        <w:pStyle w:val="Normalnumber"/>
      </w:pPr>
      <w:r w:rsidRPr="00621720">
        <w:t>Another representative pointed out that while the potential cost savings of changing Montreal Protocol operations were straightforward to quantify, the consequences in terms of output, efficacy and capacity to implement the Protocol were more difficult to calculate</w:t>
      </w:r>
      <w:r w:rsidR="00E50485" w:rsidRPr="00621720">
        <w:t>,</w:t>
      </w:r>
      <w:r w:rsidRPr="00621720">
        <w:t xml:space="preserve"> and any changes </w:t>
      </w:r>
      <w:r w:rsidR="00E50485" w:rsidRPr="00621720">
        <w:t xml:space="preserve">would </w:t>
      </w:r>
      <w:r w:rsidRPr="00621720">
        <w:t>therefore require careful consideration. His party was open to incremental</w:t>
      </w:r>
      <w:r w:rsidR="00E50485" w:rsidRPr="00621720">
        <w:t>,</w:t>
      </w:r>
      <w:r w:rsidRPr="00621720">
        <w:t xml:space="preserve"> low-risk changes that improved the efficiency of operations. Larger structural changes would require further consideration, but those could be explored in the light of future challenges.</w:t>
      </w:r>
    </w:p>
    <w:p w14:paraId="7839E9D0" w14:textId="77777777" w:rsidR="00E25E31" w:rsidRPr="00621720" w:rsidRDefault="00E25E31" w:rsidP="00E25E31">
      <w:pPr>
        <w:pStyle w:val="Normalnumber"/>
      </w:pPr>
      <w:r w:rsidRPr="00621720">
        <w:t xml:space="preserve">The representative of the United States of America, speaking also on behalf of Japan, introduced a draft decision set out in a conference room paper. He stressed that the proposals it contained were incremental and evolutionary in </w:t>
      </w:r>
      <w:proofErr w:type="gramStart"/>
      <w:r w:rsidRPr="00621720">
        <w:t>nature, and</w:t>
      </w:r>
      <w:proofErr w:type="gramEnd"/>
      <w:r w:rsidRPr="00621720">
        <w:t xml:space="preserve"> did not envisage a wholesale change of operations. He said that he agreed with representatives’ suggestions that changes should be introduced on a trial basis and be subject to review. </w:t>
      </w:r>
    </w:p>
    <w:p w14:paraId="60CBB663" w14:textId="77777777" w:rsidR="00E25E31" w:rsidRPr="00621720" w:rsidRDefault="00E25E31" w:rsidP="00E25E31">
      <w:pPr>
        <w:pStyle w:val="Normalnumber"/>
      </w:pPr>
      <w:r w:rsidRPr="00621720">
        <w:t xml:space="preserve">He agreed with the view expressed by all the representatives who had spoken, that the goal was to continue operating in a way that allowed the continued effective functioning of the Montreal Protocol. The proposals in the draft decision were aimed primarily at modernizing the work of Protocol in ways that improved efficiency. While several of them departed from past practice, they were used under </w:t>
      </w:r>
      <w:proofErr w:type="gramStart"/>
      <w:r w:rsidRPr="00621720">
        <w:t>a number of</w:t>
      </w:r>
      <w:proofErr w:type="gramEnd"/>
      <w:r w:rsidRPr="00621720">
        <w:t xml:space="preserve"> other multilateral environmental agreements. </w:t>
      </w:r>
    </w:p>
    <w:p w14:paraId="0220EE7A" w14:textId="6622F6DA" w:rsidR="00E25E31" w:rsidRPr="00621720" w:rsidRDefault="00E25E31" w:rsidP="00E25E31">
      <w:pPr>
        <w:pStyle w:val="Normalnumber"/>
      </w:pPr>
      <w:r w:rsidRPr="00621720">
        <w:t>The proposals included requesting the Secretariat to change the duration of future meetings of the Open</w:t>
      </w:r>
      <w:r w:rsidR="00B26C5B" w:rsidRPr="00621720">
        <w:t>-</w:t>
      </w:r>
      <w:r w:rsidR="000A5C27" w:rsidRPr="00621720">
        <w:t>e</w:t>
      </w:r>
      <w:r w:rsidRPr="00621720">
        <w:t xml:space="preserve">nded Working Group to four days; organize an online presentation of the next progress report of the </w:t>
      </w:r>
      <w:bookmarkStart w:id="15" w:name="_Hlk244542249"/>
      <w:r w:rsidRPr="00621720">
        <w:t xml:space="preserve">Technology and Economic Assessment Panel </w:t>
      </w:r>
      <w:bookmarkEnd w:id="15"/>
      <w:r w:rsidRPr="00621720">
        <w:t xml:space="preserve">ahead of the forty-ninth meeting of the Working Group, with an opportunity for parties to submit questions to the Panel in advance; use software-based tools for the translation of meeting documents for all meetings in 2027, including appropriate human review and quality assurance; promote the use of online meetings, to the extent possible, of the </w:t>
      </w:r>
      <w:bookmarkStart w:id="16" w:name="_Hlk244542310"/>
      <w:r w:rsidRPr="00621720">
        <w:t xml:space="preserve">Technology and Economic Assessment Panel’s </w:t>
      </w:r>
      <w:bookmarkEnd w:id="16"/>
      <w:r w:rsidRPr="00621720">
        <w:t>subsidiary bodies; limit support for in-person meetings of the Environmental Effects Assessment Panel and the Technology and Economic Assessment Panel’s subsidiary bodies to those that had a substantial report due that year, or where in-person meetings were necessary to maintain the quality and effectiveness of their work; and consider reviewing meeting intervals, including those of the Meetings of the Parties.</w:t>
      </w:r>
    </w:p>
    <w:p w14:paraId="4469711F" w14:textId="6D292E68" w:rsidR="00E25E31" w:rsidRPr="00621720" w:rsidRDefault="00E25E31" w:rsidP="00E25E31">
      <w:pPr>
        <w:pStyle w:val="Normalnumber"/>
      </w:pPr>
      <w:r w:rsidRPr="00621720">
        <w:t>The proposals also included deciding that meetings of the Bureau and the Implementation Committee would be conducted, and associated documentation drawn up, in English only, with language interpretation to be provided, if requested, for parties whose compliance was under consideration; to conduct the first meeting of the Implementation Committee of 2027 online; to continue discussing improving the resource-efficient operations of the Protocol, including the further expansion of virtual meetings, and the possibility of gradually reducing the number of meetings, during 2027; and to review</w:t>
      </w:r>
      <w:r w:rsidR="0068602F" w:rsidRPr="00621720">
        <w:t>,</w:t>
      </w:r>
      <w:r w:rsidRPr="00621720">
        <w:t xml:space="preserve"> at the fiftieth meeting of the Working Group and the Fortieth Meeting of the Parties</w:t>
      </w:r>
      <w:r w:rsidR="0068602F" w:rsidRPr="00621720">
        <w:t>, the impact of the measures taken</w:t>
      </w:r>
      <w:r w:rsidRPr="00621720">
        <w:t>.</w:t>
      </w:r>
    </w:p>
    <w:p w14:paraId="1C2591F3" w14:textId="000A7DBD" w:rsidR="00E25E31" w:rsidRPr="00621720" w:rsidRDefault="00E25E31" w:rsidP="00E25E31">
      <w:pPr>
        <w:pStyle w:val="Normalnumber"/>
      </w:pPr>
      <w:r w:rsidRPr="00621720">
        <w:t xml:space="preserve">The representative of Japan added that none of the proposals in the draft decision, many of which had been included in the supplementary report </w:t>
      </w:r>
      <w:r w:rsidR="00845B36" w:rsidRPr="00621720">
        <w:t>by</w:t>
      </w:r>
      <w:r w:rsidRPr="00621720">
        <w:t xml:space="preserve"> the Secretariat, were intended to weaken the scope, ambition or implementation of the Montreal Protocol, but rather to enhance its integrity and achievements. Similar discussions were taking place under many other multilateral environmental agreements. </w:t>
      </w:r>
    </w:p>
    <w:p w14:paraId="685CE008" w14:textId="7BF6E2EB" w:rsidR="00E25E31" w:rsidRPr="00621720" w:rsidRDefault="00E25E31" w:rsidP="00E25E31">
      <w:pPr>
        <w:pStyle w:val="Normalnumber"/>
        <w:tabs>
          <w:tab w:val="left" w:pos="624"/>
        </w:tabs>
      </w:pPr>
      <w:r w:rsidRPr="00621720">
        <w:t xml:space="preserve">The parties agreed to establish a contact group, co-chaired by </w:t>
      </w:r>
      <w:r w:rsidRPr="00621720">
        <w:rPr>
          <w:lang w:val="en-US"/>
        </w:rPr>
        <w:t>Azra Rogović Grubić (Bosnia and Herzegovina</w:t>
      </w:r>
      <w:r w:rsidRPr="00621720">
        <w:t xml:space="preserve">) and </w:t>
      </w:r>
      <w:r w:rsidRPr="00621720">
        <w:rPr>
          <w:lang w:val="en-US"/>
        </w:rPr>
        <w:t>Alessandro Peru (Italy)</w:t>
      </w:r>
      <w:r w:rsidR="00845B36" w:rsidRPr="00621720">
        <w:rPr>
          <w:lang w:val="en-US"/>
        </w:rPr>
        <w:t xml:space="preserve">, </w:t>
      </w:r>
      <w:r w:rsidR="00845B36" w:rsidRPr="00621720">
        <w:t>to consider the two draft decisions</w:t>
      </w:r>
      <w:r w:rsidRPr="00621720">
        <w:t>.</w:t>
      </w:r>
    </w:p>
    <w:p w14:paraId="0110A69A" w14:textId="16054A2C" w:rsidR="00CB5DB5"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629BB110" w14:textId="1564BC6F" w:rsidR="009426AA" w:rsidRPr="00621720" w:rsidRDefault="00CB5DB5" w:rsidP="00E71278">
      <w:pPr>
        <w:pStyle w:val="CH1"/>
      </w:pPr>
      <w:r w:rsidRPr="00621720">
        <w:lastRenderedPageBreak/>
        <w:tab/>
        <w:t>VII.</w:t>
      </w:r>
      <w:r w:rsidRPr="00621720">
        <w:tab/>
      </w:r>
      <w:r w:rsidR="009426AA" w:rsidRPr="00621720">
        <w:t>Emissions of hydrofluorocarbon-23 (HFC-23) (decision</w:t>
      </w:r>
      <w:r w:rsidR="00892128" w:rsidRPr="00621720">
        <w:t> </w:t>
      </w:r>
      <w:r w:rsidR="009426AA" w:rsidRPr="00621720">
        <w:t>XXXVII/2)</w:t>
      </w:r>
    </w:p>
    <w:p w14:paraId="57C06C63" w14:textId="3C3A2005" w:rsidR="00E579C2" w:rsidRPr="00621720" w:rsidRDefault="00E579C2" w:rsidP="00E71278">
      <w:pPr>
        <w:pStyle w:val="Normalnumber"/>
        <w:keepNext/>
        <w:keepLines/>
        <w:tabs>
          <w:tab w:val="clear" w:pos="1247"/>
          <w:tab w:val="clear" w:pos="1814"/>
          <w:tab w:val="clear" w:pos="2381"/>
          <w:tab w:val="clear" w:pos="2948"/>
          <w:tab w:val="clear" w:pos="3515"/>
          <w:tab w:val="left" w:pos="624"/>
        </w:tabs>
        <w:ind w:left="1247"/>
      </w:pPr>
      <w:r w:rsidRPr="00621720">
        <w:t xml:space="preserve">In considering the item, parties had before them paragraphs 47–49 of the note by the secretariat on issues for discussion by and information for the attention of the Thirty-Eighth Meeting of the Parties to the Montreal Protocol (UNEP/OzL.Pro.38/2) and paragraphs 66–76 of the addendum thereto (UNEP/OzL.Pro.38/2/Add.1). </w:t>
      </w:r>
    </w:p>
    <w:p w14:paraId="1952D787" w14:textId="04F6B542" w:rsidR="00E579C2" w:rsidRPr="00621720" w:rsidRDefault="00E579C2" w:rsidP="00B5137A">
      <w:pPr>
        <w:pStyle w:val="Normalnumber"/>
        <w:tabs>
          <w:tab w:val="clear" w:pos="1247"/>
          <w:tab w:val="clear" w:pos="1814"/>
          <w:tab w:val="clear" w:pos="2381"/>
          <w:tab w:val="clear" w:pos="2948"/>
          <w:tab w:val="clear" w:pos="3515"/>
          <w:tab w:val="left" w:pos="624"/>
        </w:tabs>
        <w:ind w:left="1247"/>
      </w:pPr>
      <w:r w:rsidRPr="00621720">
        <w:t>Introducing the item, the Co-Chair recalled that, in decision XXXVII/2, the Thirty-Seventh Meeting of the Parties had requested the Scientific Assessment Panel and the Technology and Economic Assessment Panel to provide an update at the current meeting on HFC-23 emissions, taking</w:t>
      </w:r>
      <w:r w:rsidRPr="00621720">
        <w:rPr>
          <w:lang w:val="en-US"/>
        </w:rPr>
        <w:t xml:space="preserve"> into account the information submitted by parties in response to decision XXXVI/3 and pursuant to paragraph 2 of decision XXXVII/2. </w:t>
      </w:r>
      <w:r w:rsidRPr="00621720">
        <w:t>In response to that request, the panels had coordinated closely and had provided their inputs in one report, the preparation of which had been led by the Medical and Chemicals Technical Options Committee. The report had been made available on the meeting portal in early September, and an executive summary of the report was set out in the annex to the addendum to the note by the Secretariat.</w:t>
      </w:r>
    </w:p>
    <w:p w14:paraId="50EB5A0D" w14:textId="65D5BA16" w:rsidR="00E579C2" w:rsidRPr="00621720" w:rsidRDefault="00E579C2" w:rsidP="00B5137A">
      <w:pPr>
        <w:pStyle w:val="Normalnumber"/>
        <w:tabs>
          <w:tab w:val="clear" w:pos="1247"/>
          <w:tab w:val="clear" w:pos="1814"/>
          <w:tab w:val="clear" w:pos="2381"/>
          <w:tab w:val="clear" w:pos="2948"/>
          <w:tab w:val="clear" w:pos="3515"/>
          <w:tab w:val="left" w:pos="624"/>
        </w:tabs>
        <w:ind w:left="1247"/>
      </w:pPr>
      <w:r w:rsidRPr="00621720">
        <w:t xml:space="preserve">Stephen Montzka, </w:t>
      </w:r>
      <w:r w:rsidR="001C1285" w:rsidRPr="00621720">
        <w:t xml:space="preserve">member of the </w:t>
      </w:r>
      <w:r w:rsidRPr="00621720">
        <w:t xml:space="preserve">Scientific Assessment Panel, and Takeshi Eriguchi, </w:t>
      </w:r>
      <w:r w:rsidR="009D1922" w:rsidRPr="00621720">
        <w:t>c</w:t>
      </w:r>
      <w:r w:rsidRPr="00621720">
        <w:t>o-</w:t>
      </w:r>
      <w:r w:rsidR="009D1922" w:rsidRPr="00621720">
        <w:t>c</w:t>
      </w:r>
      <w:r w:rsidRPr="00621720">
        <w:t xml:space="preserve">hair of the Medical and Chemicals Technical Options Committee, speaking on behalf of the Technology and Economic Assessment Panel, delivered presentations on the response of each panel to the requests in decision XXXVII/2. The presentations are set out in sections [--] and [--], respectively, of annex [--] to the present report. </w:t>
      </w:r>
    </w:p>
    <w:p w14:paraId="13E35685" w14:textId="77777777" w:rsidR="00E579C2" w:rsidRPr="00621720" w:rsidRDefault="00E579C2" w:rsidP="00B5137A">
      <w:pPr>
        <w:pStyle w:val="Normalnumber"/>
        <w:tabs>
          <w:tab w:val="clear" w:pos="1247"/>
          <w:tab w:val="clear" w:pos="1814"/>
          <w:tab w:val="clear" w:pos="2381"/>
          <w:tab w:val="clear" w:pos="2948"/>
          <w:tab w:val="clear" w:pos="3515"/>
          <w:tab w:val="left" w:pos="624"/>
        </w:tabs>
        <w:ind w:left="1247"/>
      </w:pPr>
      <w:r w:rsidRPr="00621720">
        <w:t xml:space="preserve">Following the presentations, several representatives posed questions to the panel members with a view to clarifying some of the issues raised. </w:t>
      </w:r>
    </w:p>
    <w:p w14:paraId="6CCE3612" w14:textId="77777777" w:rsidR="00E579C2" w:rsidRPr="00621720" w:rsidRDefault="00E579C2" w:rsidP="00B5137A">
      <w:pPr>
        <w:pStyle w:val="Normalnumber"/>
        <w:tabs>
          <w:tab w:val="clear" w:pos="1247"/>
          <w:tab w:val="clear" w:pos="1814"/>
          <w:tab w:val="clear" w:pos="2381"/>
          <w:tab w:val="clear" w:pos="2948"/>
          <w:tab w:val="clear" w:pos="3515"/>
          <w:tab w:val="left" w:pos="624"/>
        </w:tabs>
        <w:ind w:left="1247"/>
      </w:pPr>
      <w:r w:rsidRPr="00621720">
        <w:t xml:space="preserve">Responding to a question about the geographical resolution of the monitoring network and the uncertainties of the top-down estimates of emissions of HFC-23, including whether the measurements available to date under current models gave insights into regional hotspots, Mr. </w:t>
      </w:r>
      <w:proofErr w:type="spellStart"/>
      <w:r w:rsidRPr="00621720">
        <w:t>Montzka</w:t>
      </w:r>
      <w:proofErr w:type="spellEnd"/>
      <w:r w:rsidRPr="00621720">
        <w:t xml:space="preserve"> said that globally distributed measurements of HFC-23 were typically performed in regions removed from emissions. While those measurements provided information on how a chemical’s global emission magnitudes varied from year to year, using that information to derive estimates of emissions at the regional or continental scales was a research project that had not yet been fully proven. Instead, measurements made close to emissive sources in </w:t>
      </w:r>
      <w:proofErr w:type="gramStart"/>
      <w:r w:rsidRPr="00621720">
        <w:t>a number of</w:t>
      </w:r>
      <w:proofErr w:type="gramEnd"/>
      <w:r w:rsidRPr="00621720">
        <w:t xml:space="preserve"> different regions could aid the understanding of hotspots in those regions. However, those data accounted for less than 50 per cent of global totals. </w:t>
      </w:r>
      <w:proofErr w:type="gramStart"/>
      <w:r w:rsidRPr="00621720">
        <w:t>With regard to</w:t>
      </w:r>
      <w:proofErr w:type="gramEnd"/>
      <w:r w:rsidRPr="00621720">
        <w:t xml:space="preserve"> uncertainties in the global totals, they were insufficient to explain the gap between atmosphere-derived and reporting-based global total emissions.</w:t>
      </w:r>
    </w:p>
    <w:p w14:paraId="369442DD" w14:textId="77777777" w:rsidR="00E579C2" w:rsidRPr="00621720" w:rsidRDefault="00E579C2" w:rsidP="00B5137A">
      <w:pPr>
        <w:pStyle w:val="Normalnumber"/>
        <w:tabs>
          <w:tab w:val="clear" w:pos="1247"/>
          <w:tab w:val="clear" w:pos="1814"/>
          <w:tab w:val="clear" w:pos="2381"/>
          <w:tab w:val="clear" w:pos="2948"/>
          <w:tab w:val="clear" w:pos="3515"/>
          <w:tab w:val="left" w:pos="624"/>
        </w:tabs>
        <w:ind w:left="1247"/>
      </w:pPr>
      <w:r w:rsidRPr="00621720">
        <w:t xml:space="preserve">Regarding possible factors that might explain why atmospheric measurements of global HFC-23 emissions had declined from a peak in 2018–2019 and then remained relatively unchanged during the period 2022–2024, Mr. </w:t>
      </w:r>
      <w:proofErr w:type="spellStart"/>
      <w:r w:rsidRPr="00621720">
        <w:t>Montzka</w:t>
      </w:r>
      <w:proofErr w:type="spellEnd"/>
      <w:r w:rsidRPr="00621720">
        <w:t xml:space="preserve"> said that he had no hypothesis on that matter. Considering the metric of total emissions of HFC-23 divided by total production of HCFC</w:t>
      </w:r>
      <w:r w:rsidRPr="00621720">
        <w:noBreakHyphen/>
        <w:t xml:space="preserve">22, that ratio had remained relatively constant over recent years, although there was no scientific evidence on whether the two quantities were causally related. Looking to the future, estimates of emissions from other regions of the world should soon be available </w:t>
      </w:r>
      <w:proofErr w:type="gramStart"/>
      <w:r w:rsidRPr="00621720">
        <w:t>as a result of</w:t>
      </w:r>
      <w:proofErr w:type="gramEnd"/>
      <w:r w:rsidRPr="00621720">
        <w:t xml:space="preserve"> additional atmospheric observations being made at other sites around the globe.</w:t>
      </w:r>
    </w:p>
    <w:p w14:paraId="57AB8A58" w14:textId="60017A7D" w:rsidR="00E579C2" w:rsidRPr="00621720" w:rsidRDefault="00E579C2" w:rsidP="00B5137A">
      <w:pPr>
        <w:pStyle w:val="Normalnumber"/>
        <w:tabs>
          <w:tab w:val="clear" w:pos="1247"/>
          <w:tab w:val="clear" w:pos="1814"/>
          <w:tab w:val="clear" w:pos="2381"/>
          <w:tab w:val="clear" w:pos="2948"/>
          <w:tab w:val="clear" w:pos="3515"/>
          <w:tab w:val="left" w:pos="624"/>
        </w:tabs>
        <w:ind w:left="1247"/>
      </w:pPr>
      <w:r w:rsidRPr="00621720">
        <w:t xml:space="preserve">Helen Walter-Terrinoni, </w:t>
      </w:r>
      <w:r w:rsidR="009D1922" w:rsidRPr="00621720">
        <w:t>c</w:t>
      </w:r>
      <w:r w:rsidRPr="00621720">
        <w:t>o-</w:t>
      </w:r>
      <w:r w:rsidR="009D1922" w:rsidRPr="00621720">
        <w:t>c</w:t>
      </w:r>
      <w:r w:rsidRPr="00621720">
        <w:t xml:space="preserve">hair of the Flexible and Rigid Foams Technical Options Committee, responding to a question about unreported emissions that might explain the gap between atmosphere-derived and reporting-based global total emissions of HFC-23, said that HFC-23 emissions were reported by parties using their own local data-gathering and reporting methodologies. That reporting should include most known HFC-23 emission sources. However, the </w:t>
      </w:r>
      <w:r w:rsidRPr="00621720">
        <w:rPr>
          <w:bCs/>
          <w:lang w:val="en-US"/>
        </w:rPr>
        <w:t xml:space="preserve">Medical and Chemicals Technical Options Committee had not, to date, identified any additional large-scale HFC-23 emissions. On </w:t>
      </w:r>
      <w:r w:rsidRPr="00621720">
        <w:t xml:space="preserve">the matter of the broad range of estimated HFC-23 emissions as a by-product of the manufacture of tetrafluoroethylene and hexafluoropropylene, she said that that estimate was based on the best available information available in </w:t>
      </w:r>
      <w:proofErr w:type="gramStart"/>
      <w:r w:rsidRPr="00621720">
        <w:t>the public</w:t>
      </w:r>
      <w:proofErr w:type="gramEnd"/>
      <w:r w:rsidRPr="00621720">
        <w:t xml:space="preserve"> literature, which gave a broad range of estimates.</w:t>
      </w:r>
    </w:p>
    <w:p w14:paraId="421DEF25" w14:textId="56969AAA" w:rsidR="00E579C2" w:rsidRPr="00621720" w:rsidRDefault="00E25E31" w:rsidP="00B5137A">
      <w:pPr>
        <w:pStyle w:val="Normalnumber"/>
        <w:tabs>
          <w:tab w:val="clear" w:pos="1247"/>
          <w:tab w:val="clear" w:pos="1814"/>
          <w:tab w:val="clear" w:pos="2381"/>
          <w:tab w:val="clear" w:pos="2948"/>
          <w:tab w:val="clear" w:pos="3515"/>
          <w:tab w:val="left" w:pos="624"/>
        </w:tabs>
        <w:ind w:left="1247"/>
      </w:pPr>
      <w:r w:rsidRPr="00621720">
        <w:t>M</w:t>
      </w:r>
      <w:r w:rsidR="00E579C2" w:rsidRPr="00621720">
        <w:t xml:space="preserve">r. </w:t>
      </w:r>
      <w:proofErr w:type="spellStart"/>
      <w:r w:rsidR="00E579C2" w:rsidRPr="00621720">
        <w:t>Eriguchi</w:t>
      </w:r>
      <w:proofErr w:type="spellEnd"/>
      <w:r w:rsidR="00E579C2" w:rsidRPr="00621720">
        <w:t xml:space="preserve">, responding to a question on other uses and possible sources, said that the information available suggested that the production sector and the feedstock sector were the main sources of HFC-23 emissions. Regarding the possibility that other sources, such as the manufacture of tetrafluoroethylene, could account for the discrepancy in emissions, current knowledge indicated that emissions from such sources were not significant enough to bridge the gap, based on the known impurities in HCFC-22 used as a feedstock in those processes. On the question of other sources from industrial processes, including aqueous waste and diffuse emissions, and whether they were consistent with Article 7 data reported by parties, those were accounted for in the report and in the data. Again, </w:t>
      </w:r>
      <w:r w:rsidR="00E579C2" w:rsidRPr="00621720">
        <w:lastRenderedPageBreak/>
        <w:t xml:space="preserve">regarding the potential role played by the manufacture of tetrafluoroethylene and hexafluoropropylene, Article 7 emissions data were reported by parties only for controlled HCFC and HFC </w:t>
      </w:r>
      <w:proofErr w:type="gramStart"/>
      <w:r w:rsidR="00E579C2" w:rsidRPr="00621720">
        <w:t>production, and</w:t>
      </w:r>
      <w:proofErr w:type="gramEnd"/>
      <w:r w:rsidR="00E579C2" w:rsidRPr="00621720">
        <w:t xml:space="preserve"> did not include the production of tetrafluoroethylene and hexafluoropropylene or other fluorocarbon manufacturing of substances not controlled by the Montreal Protocol, although estimates had been derived from other manufacturing sources.</w:t>
      </w:r>
    </w:p>
    <w:p w14:paraId="41E7D058" w14:textId="2EB14A96" w:rsidR="00FA7B34" w:rsidRPr="00621720" w:rsidRDefault="00FA7B34" w:rsidP="00FA7B34">
      <w:pPr>
        <w:pStyle w:val="Normalnumber"/>
      </w:pPr>
      <w:r w:rsidRPr="00621720">
        <w:t>One representative requested information on regional emissions, specifically in relation to the assertion that they had remained unchanged since the 2025 report of the Scientific Assessment Panel. She asked whether it was correct that the Panel had examined emissions data for several years, and that the differences in regional emissions represented a persistent trend more than a one-off occurrence. She sought clarification on the apparent divergence between reported data and atmospheric observation data from the year 2016 onwards; which sources had provided the bottom-up data; whether the Panel had considered data for all the facilities reported on by the Environmental Protection Agency; and whether all the significant processes that potentially emitted HFC-23 had been taken into account. She also requested confirmation that the Technology and Economic Assessment Panel had used the executive summary of the Scientific Assessment Panel’s 2026 quadrennial assessment report as its data source, and that that report had represented the most up-to-date data available. Finally, she asked whether ongoing work of the Scientific Assessment Panel would be added to the report.</w:t>
      </w:r>
    </w:p>
    <w:p w14:paraId="7530A87E" w14:textId="771139FF" w:rsidR="00FA7B34" w:rsidRPr="00621720" w:rsidRDefault="00FA7B34" w:rsidP="00FA7B34">
      <w:pPr>
        <w:pStyle w:val="Normalnumber"/>
      </w:pPr>
      <w:r w:rsidRPr="00621720">
        <w:t xml:space="preserve">Mr. </w:t>
      </w:r>
      <w:proofErr w:type="spellStart"/>
      <w:r w:rsidRPr="00621720">
        <w:t>Montzka</w:t>
      </w:r>
      <w:proofErr w:type="spellEnd"/>
      <w:r w:rsidRPr="00621720">
        <w:t xml:space="preserve"> confirmed that the regional emissions estimates for the year 2023 published in the 2025 assessment report were the most recent available and that those regional estimates included multi-year analyses for the year 2023 and earlier. With regard to the data sources used for bottom-up emissions estimates, he clarified that bottom-up data sources included reporting of HFC-23 emissions under the United Nations Framework Convention on Climate Change; reporting under Article 7, above all for some non-Article 5 parties; reported HCFC-22 production in Article 5 parties; generation rates published in reports of the Executive Committee of the Multilateral Fund; and information on reported destruction and management practices submitted by Article 5 parties. He also </w:t>
      </w:r>
      <w:r w:rsidR="00886A00" w:rsidRPr="00621720">
        <w:t xml:space="preserve">noted </w:t>
      </w:r>
      <w:r w:rsidRPr="00621720">
        <w:t xml:space="preserve">that no additional work by the Panel would be included in the report that would be presented to the Thirty-Ninth Meeting of the Parties. </w:t>
      </w:r>
    </w:p>
    <w:p w14:paraId="66BCD285" w14:textId="77777777" w:rsidR="00FA7B34" w:rsidRPr="00621720" w:rsidRDefault="00FA7B34" w:rsidP="00FA7B34">
      <w:pPr>
        <w:pStyle w:val="Normalnumber"/>
      </w:pPr>
      <w:r w:rsidRPr="00621720">
        <w:t xml:space="preserve">Mr. </w:t>
      </w:r>
      <w:proofErr w:type="spellStart"/>
      <w:r w:rsidRPr="00621720">
        <w:t>Eriguchi</w:t>
      </w:r>
      <w:proofErr w:type="spellEnd"/>
      <w:r w:rsidRPr="00621720">
        <w:t xml:space="preserve"> confirmed that the Technology and Economic Assessment Panel had taken into consideration the data reports of sites listed by the Environmental Protection Agency and had found that the data correlated well with Article 7 reporting data. Individual site data from the United States was consistent with the accumulated data reported by the United States and had not meaningfully impacted the analysis. In previous years, the Panel had examined data for individual sites in the United States in relation to HFC-23 emissions by-products. He said that no potential large unaccounted sources that could explain discrepancies had been identified. In that regard, the Panel had examined the use of Fluorspar, from which hydrogen fluoride was produced, and had analysed other uses including aluminium fluoride. The Panel had also compared its estimated emissions rate against publicly available emissions rates for HFC-23 and had looked for any previously unidentified generation or emission of HFC-23. He confirmed that data from the Scientific Assessment Panel’s 2026 quadrennial assessment report had been used in the report of the Technology and Economic Assessment Panel.</w:t>
      </w:r>
    </w:p>
    <w:p w14:paraId="74E535F8" w14:textId="77777777" w:rsidR="00FA7B34" w:rsidRPr="00621720" w:rsidRDefault="00FA7B34" w:rsidP="00FA7B34">
      <w:pPr>
        <w:pStyle w:val="Normalnumber"/>
        <w:rPr>
          <w:bCs/>
        </w:rPr>
      </w:pPr>
      <w:r w:rsidRPr="00621720">
        <w:t xml:space="preserve">One representative requested information on whether the apparent differences between HFC-23 emissions reporting methodologies used by different countries resulted in significant uncertainties in reported emissions data and asked whether data reported by different countries were truly comparable. </w:t>
      </w:r>
      <w:proofErr w:type="gramStart"/>
      <w:r w:rsidRPr="00621720">
        <w:t>With regard to</w:t>
      </w:r>
      <w:proofErr w:type="gramEnd"/>
      <w:r w:rsidRPr="00621720">
        <w:t xml:space="preserve"> the coverage of atmospheric monitoring, she requested further information on the absence in some important regions of publicly available top-down data, including on whether such gaps existed for all countries and regions. Mr. </w:t>
      </w:r>
      <w:proofErr w:type="spellStart"/>
      <w:r w:rsidRPr="00621720">
        <w:t>Montzka</w:t>
      </w:r>
      <w:proofErr w:type="spellEnd"/>
      <w:r w:rsidRPr="00621720">
        <w:t xml:space="preserve"> said that atmospheric monitoring coverage remained an ongoing challenge and that the continued expansion of monitoring networks was likely to result in more data being made available from regions that currently had less coverage. Countries and regions for which atmospheric top-down estimates of HFC-23 emissions were available had accounted for </w:t>
      </w:r>
      <w:proofErr w:type="gramStart"/>
      <w:r w:rsidRPr="00621720">
        <w:t>the majority of</w:t>
      </w:r>
      <w:proofErr w:type="gramEnd"/>
      <w:r w:rsidRPr="00621720">
        <w:t xml:space="preserve"> reported HFC-23 generation in the year 2023. Ms. Walter-</w:t>
      </w:r>
      <w:proofErr w:type="spellStart"/>
      <w:r w:rsidRPr="00621720">
        <w:t>Terrinoni</w:t>
      </w:r>
      <w:proofErr w:type="spellEnd"/>
      <w:r w:rsidRPr="00621720">
        <w:t xml:space="preserve"> acknowledged the differences between the methodologies by which countries and companies calculated data but said that they were not likely to explain the mentioned gaps.</w:t>
      </w:r>
      <w:r w:rsidRPr="00621720">
        <w:rPr>
          <w:bCs/>
        </w:rPr>
        <w:t xml:space="preserve"> </w:t>
      </w:r>
    </w:p>
    <w:p w14:paraId="18545C63" w14:textId="77777777" w:rsidR="00FA7B34" w:rsidRPr="00621720" w:rsidRDefault="00FA7B34" w:rsidP="00FA7B34">
      <w:pPr>
        <w:pStyle w:val="Normalnumber"/>
      </w:pPr>
      <w:r w:rsidRPr="00621720">
        <w:t>Another representative noted with concern the significant discrepancy between bottom-up estimates based on reported emissions and top-down estimates from atmospheric measurements and requested information on whether current Article 7 reporting requirements were sufficient to capture emissions from all stages of HFC-23 production and destruction. Ms. Walter-</w:t>
      </w:r>
      <w:proofErr w:type="spellStart"/>
      <w:r w:rsidRPr="00621720">
        <w:t>Terrinoni</w:t>
      </w:r>
      <w:proofErr w:type="spellEnd"/>
      <w:r w:rsidRPr="00621720">
        <w:t xml:space="preserve"> said that, while it was true that some sources of HFC-23 were not covered under the Montreal Protocol reporting process, that could not plausibly explain the existing gaps. She suggested that parties could explore options for reporting information on sources not currently reported under Article 7. </w:t>
      </w:r>
    </w:p>
    <w:p w14:paraId="77690E04" w14:textId="52521E3F" w:rsidR="00FA7B34" w:rsidRPr="00621720" w:rsidRDefault="00FA7B34" w:rsidP="00FA7B34">
      <w:pPr>
        <w:pStyle w:val="Normalnumber"/>
      </w:pPr>
      <w:r w:rsidRPr="00621720">
        <w:lastRenderedPageBreak/>
        <w:t xml:space="preserve">The representative of the United States introduced a proposal for a draft decision submitted by his party, set out in a conference room paper. She highlighted the global discrepancy of approximately 10,000 metric tons of HFC-23 emissions per year between reported emissions and atmospheric measurements, which was a matter of concern. The draft decision was intended to improve the data available to parties in their discussions on HFC-23. It included requests that parties, and particularly those in regions with high levels of HFC-23 emissions, publish and share information with the scientific community and the Scientific Assessment Panel on HFC-23 generation or emissions no later than 1 March 2027; and that the Scientific Assessment Panel provide an update on measurement-derived HFC-23 emissions to the Open-ended Working Group at its forty-ninth meeting. </w:t>
      </w:r>
    </w:p>
    <w:p w14:paraId="144B974F" w14:textId="77777777" w:rsidR="00FA7B34" w:rsidRPr="00621720" w:rsidRDefault="00FA7B34" w:rsidP="00FA7B34">
      <w:pPr>
        <w:pStyle w:val="Normalnumber"/>
      </w:pPr>
      <w:r w:rsidRPr="00621720">
        <w:t xml:space="preserve">In the ensuing discussion, many representatives, including one speaking on behalf of a group of countries, expressed support for the proposal, emphasizing the magnitude of the discrepancy noted and stressing their concerns. One representative pointed out that that the gap could not be explained by the usual mechanisms and that the situation had persisted for several years. Another representative said that collaboration was essential </w:t>
      </w:r>
      <w:proofErr w:type="gramStart"/>
      <w:r w:rsidRPr="00621720">
        <w:t>in order to</w:t>
      </w:r>
      <w:proofErr w:type="gramEnd"/>
      <w:r w:rsidRPr="00621720">
        <w:t xml:space="preserve"> better understand and address the discrepancies. One representative emphasized the importance of avoiding imposing new burdens on parties, the voluntary nature of submissions, and due regard for national circumstances. Some representatives said that they looked forward to discussing the matter in a contact group.</w:t>
      </w:r>
    </w:p>
    <w:p w14:paraId="32F85BBC" w14:textId="0E7A1094" w:rsidR="00FA7B34" w:rsidRPr="00621720" w:rsidRDefault="00FA7B34" w:rsidP="00FA7B34">
      <w:pPr>
        <w:pStyle w:val="Normalnumber"/>
      </w:pPr>
      <w:r w:rsidRPr="00621720">
        <w:t xml:space="preserve">Some representatives expressed reservations about the proposal. One </w:t>
      </w:r>
      <w:r w:rsidR="00886A00" w:rsidRPr="00621720">
        <w:t xml:space="preserve">representative </w:t>
      </w:r>
      <w:r w:rsidRPr="00621720">
        <w:t xml:space="preserve">said that </w:t>
      </w:r>
      <w:r w:rsidR="009D03FA" w:rsidRPr="00621720">
        <w:t xml:space="preserve">the </w:t>
      </w:r>
      <w:r w:rsidRPr="00621720">
        <w:t xml:space="preserve">discussion of reported HFC-23 data and atmospheric monitoring of data discrepancies should be postponed until parties had further clarity on emissions trends </w:t>
      </w:r>
      <w:r w:rsidR="00D12889" w:rsidRPr="00621720">
        <w:t xml:space="preserve">and </w:t>
      </w:r>
      <w:r w:rsidRPr="00621720">
        <w:t xml:space="preserve">geographical coverage of monitoring and were able to produce more comparable data. She also emphasized the importance of avoiding duplication of work. One representative requested that the Secretariat produce regional emissions guidelines on which parties could agree. </w:t>
      </w:r>
    </w:p>
    <w:p w14:paraId="7CE41150" w14:textId="12C26730" w:rsidR="00FA7B34" w:rsidRPr="00621720" w:rsidRDefault="00FA7B34" w:rsidP="00FA7B34">
      <w:pPr>
        <w:pStyle w:val="Normalnumber"/>
      </w:pPr>
      <w:r w:rsidRPr="00621720">
        <w:t xml:space="preserve">The representative of China provided information on her country’s efforts in relation to HFC-23 emissions, including inspections of HCFC-22 producers; standardization of reporting methods; and extensive academic research at the global level. Another representative commended China’s efforts, particularly in research, and emphasized the importance of technical support for parties to estimate HFC-23 emissions. </w:t>
      </w:r>
    </w:p>
    <w:p w14:paraId="547917FB" w14:textId="7D6E6702" w:rsidR="00FA7B34" w:rsidRPr="00621720" w:rsidRDefault="00FA7B34" w:rsidP="00FA7B34">
      <w:pPr>
        <w:pStyle w:val="Normalnumber"/>
      </w:pPr>
      <w:r w:rsidRPr="00621720">
        <w:t>The representative of an observer urged parties to take decisive action at the current meeting to reduce HFC-23 emissions</w:t>
      </w:r>
      <w:r w:rsidR="00F02E4A" w:rsidRPr="00621720">
        <w:t>,</w:t>
      </w:r>
      <w:r w:rsidRPr="00621720">
        <w:t xml:space="preserve"> improve the accuracy and completeness of Article 7 reporting and increase transparency </w:t>
      </w:r>
      <w:proofErr w:type="gramStart"/>
      <w:r w:rsidRPr="00621720">
        <w:t>with regard to</w:t>
      </w:r>
      <w:proofErr w:type="gramEnd"/>
      <w:r w:rsidRPr="00621720">
        <w:t xml:space="preserve"> fluorochemical production. </w:t>
      </w:r>
    </w:p>
    <w:p w14:paraId="4499E401" w14:textId="7155AE8D" w:rsidR="00FA7B34" w:rsidRPr="00621720" w:rsidRDefault="008E52C3" w:rsidP="00FA7B34">
      <w:pPr>
        <w:pStyle w:val="Normalnumber"/>
      </w:pPr>
      <w:r w:rsidRPr="00621720">
        <w:t xml:space="preserve">The parties agreed to establish an </w:t>
      </w:r>
      <w:r w:rsidR="00FA7B34" w:rsidRPr="00621720">
        <w:t>informal group</w:t>
      </w:r>
      <w:r w:rsidRPr="00621720">
        <w:t>,</w:t>
      </w:r>
      <w:r w:rsidR="00FA7B34" w:rsidRPr="00621720">
        <w:t xml:space="preserve"> co-facilitated by Sandrine </w:t>
      </w:r>
      <w:r w:rsidRPr="00621720">
        <w:t>Bernard</w:t>
      </w:r>
      <w:r w:rsidR="00FA7B34" w:rsidRPr="00621720">
        <w:t xml:space="preserve"> (Norway) and</w:t>
      </w:r>
      <w:r w:rsidRPr="00621720">
        <w:t xml:space="preserve"> </w:t>
      </w:r>
      <w:r w:rsidR="00A82967" w:rsidRPr="00621720">
        <w:t xml:space="preserve">Ndiaye </w:t>
      </w:r>
      <w:r w:rsidRPr="00621720">
        <w:t>Cheikh Sylla</w:t>
      </w:r>
      <w:r w:rsidR="00FA7B34" w:rsidRPr="00621720">
        <w:t xml:space="preserve"> (Senegal)</w:t>
      </w:r>
      <w:r w:rsidRPr="00621720">
        <w:t xml:space="preserve"> to </w:t>
      </w:r>
      <w:r w:rsidR="00FF6EC8" w:rsidRPr="00621720">
        <w:t xml:space="preserve">further </w:t>
      </w:r>
      <w:r w:rsidRPr="00621720">
        <w:t xml:space="preserve">discuss the </w:t>
      </w:r>
      <w:r w:rsidR="00FF6EC8" w:rsidRPr="00621720">
        <w:t>draft decision</w:t>
      </w:r>
      <w:r w:rsidR="00FA7B34" w:rsidRPr="00621720">
        <w:t xml:space="preserve">. </w:t>
      </w:r>
    </w:p>
    <w:p w14:paraId="20A91438" w14:textId="3B7AA013" w:rsidR="00305861" w:rsidRPr="00621720" w:rsidRDefault="00305861" w:rsidP="00305861">
      <w:pPr>
        <w:pStyle w:val="Normalnumber"/>
      </w:pPr>
      <w:r w:rsidRPr="00621720">
        <w:t xml:space="preserve">Subsequently, the co-facilitator of the informal group reported that the group had reached agreement on a draft decision on emissions of HFC-23, for consideration by the parties. </w:t>
      </w:r>
    </w:p>
    <w:p w14:paraId="345CD8A9" w14:textId="6231A223" w:rsidR="00305861" w:rsidRPr="00621720" w:rsidRDefault="00305861" w:rsidP="00305861">
      <w:pPr>
        <w:pStyle w:val="Normalnumber"/>
      </w:pPr>
      <w:r w:rsidRPr="00621720">
        <w:t xml:space="preserve">The parties agreed to forward the draft decision for further consideration and possible adoption during the high-level segment. </w:t>
      </w:r>
    </w:p>
    <w:p w14:paraId="09E48E01" w14:textId="2924ED1A" w:rsidR="009426AA" w:rsidRPr="00621720" w:rsidRDefault="00CB5DB5" w:rsidP="00CB5DB5">
      <w:pPr>
        <w:pStyle w:val="CH1"/>
      </w:pPr>
      <w:r w:rsidRPr="00621720">
        <w:tab/>
        <w:t>VIII.</w:t>
      </w:r>
      <w:r w:rsidRPr="00621720">
        <w:tab/>
      </w:r>
      <w:r w:rsidR="009426AA" w:rsidRPr="00621720">
        <w:t>Enhancing regional atmospheric monitoring of substances controlled by the Montreal Protocol (decision XXXVII/1)</w:t>
      </w:r>
    </w:p>
    <w:p w14:paraId="284A6AD8" w14:textId="1D0C6913" w:rsidR="005B1563" w:rsidRPr="00621720" w:rsidRDefault="005B1563" w:rsidP="005B1563">
      <w:pPr>
        <w:pStyle w:val="Normalnumber"/>
        <w:tabs>
          <w:tab w:val="left" w:pos="624"/>
        </w:tabs>
        <w:rPr>
          <w:lang w:val="en-US"/>
        </w:rPr>
      </w:pPr>
      <w:r w:rsidRPr="00621720">
        <w:rPr>
          <w:lang w:val="en-US"/>
        </w:rPr>
        <w:t>Introducing the item, the Co-Chair recalled that, pursuant to decision XXXVII/1, at the forty</w:t>
      </w:r>
      <w:r w:rsidRPr="00621720">
        <w:rPr>
          <w:lang w:val="en-US"/>
        </w:rPr>
        <w:noBreakHyphen/>
        <w:t>eighth meeting of the Open</w:t>
      </w:r>
      <w:r w:rsidRPr="00621720">
        <w:rPr>
          <w:lang w:val="en-US"/>
        </w:rPr>
        <w:noBreakHyphen/>
        <w:t xml:space="preserve">ended Working Group, the Advisory Committee of the General Trust Fund for Financing Activities on Research and Systematic Observations Relevant to the Vienna Convention and the Secretariat had reported on activities relating to the evaluation of the suitability of potential sites for monitoring emissions of controlled substances within the regions and locations identified by the Committee. In accordance with decision XXXVII/1, the Advisory Committee and the Secretariat </w:t>
      </w:r>
      <w:proofErr w:type="gramStart"/>
      <w:r w:rsidRPr="00621720">
        <w:rPr>
          <w:lang w:val="en-US"/>
        </w:rPr>
        <w:t>would</w:t>
      </w:r>
      <w:proofErr w:type="gramEnd"/>
      <w:r w:rsidRPr="00621720">
        <w:rPr>
          <w:lang w:val="en-US"/>
        </w:rPr>
        <w:t xml:space="preserve"> provide an update on progress in implementing the decision to the Thirty-Eighth Meeting of the Parties. She drew attention to the relevant information set out in the note by the Secretariat on issues for discussion by and information for the attention of the Thirty-Eighth Meeting of the Parties to the Montreal Protocol (UNEP/OzL.Pro.38/2) and the addendum thereto (UNEP/OzL.Pro.38/2/Add.1).</w:t>
      </w:r>
    </w:p>
    <w:p w14:paraId="49F1B19E" w14:textId="74E770A8" w:rsidR="005B1563" w:rsidRPr="00621720" w:rsidRDefault="005B1563" w:rsidP="005B1563">
      <w:pPr>
        <w:pStyle w:val="Normalnumber"/>
        <w:tabs>
          <w:tab w:val="left" w:pos="624"/>
        </w:tabs>
        <w:rPr>
          <w:lang w:val="en-US"/>
        </w:rPr>
      </w:pPr>
      <w:r w:rsidRPr="00621720">
        <w:rPr>
          <w:lang w:val="en-US"/>
        </w:rPr>
        <w:t xml:space="preserve">The representative of the Secretariat and member of the Advisory Committee of the Vienna Convention General Trust Fund, Sophia Mylona, and A. R. </w:t>
      </w:r>
      <w:proofErr w:type="spellStart"/>
      <w:r w:rsidRPr="00621720">
        <w:rPr>
          <w:lang w:val="en-US"/>
        </w:rPr>
        <w:t>Ravishankara</w:t>
      </w:r>
      <w:proofErr w:type="spellEnd"/>
      <w:r w:rsidRPr="00621720">
        <w:rPr>
          <w:lang w:val="en-US"/>
        </w:rPr>
        <w:t>, Co-Chair of the Advisory Committee, gave a presentation on the progress made in implementing decision XXXVII/1. Ms.</w:t>
      </w:r>
      <w:r w:rsidR="00FA098E" w:rsidRPr="00621720">
        <w:rPr>
          <w:lang w:val="en-US"/>
        </w:rPr>
        <w:t> </w:t>
      </w:r>
      <w:r w:rsidRPr="00621720">
        <w:rPr>
          <w:lang w:val="en-US"/>
        </w:rPr>
        <w:t xml:space="preserve">Mylona outlined the funding streams and the process undertaken with a view to accessing a European Union grant of €4.5 million, a process which would soon be finalized. She also drew attention to the online tool developed by the Secretariat for estimating the cost of the establishment </w:t>
      </w:r>
      <w:r w:rsidRPr="00621720">
        <w:rPr>
          <w:lang w:val="en-US"/>
        </w:rPr>
        <w:lastRenderedPageBreak/>
        <w:t xml:space="preserve">and operation of atmospheric monitoring stations, which was being demonstrated in the margins of the current meeting. </w:t>
      </w:r>
      <w:r w:rsidR="676D5E15" w:rsidRPr="00621720">
        <w:rPr>
          <w:lang w:val="en-US"/>
        </w:rPr>
        <w:t xml:space="preserve">She </w:t>
      </w:r>
      <w:r w:rsidRPr="00621720">
        <w:rPr>
          <w:lang w:val="en-US"/>
        </w:rPr>
        <w:t xml:space="preserve">highlighted </w:t>
      </w:r>
      <w:r w:rsidR="00E50AC0" w:rsidRPr="00621720">
        <w:rPr>
          <w:lang w:val="en-US"/>
        </w:rPr>
        <w:t xml:space="preserve">the 10 regions and locations </w:t>
      </w:r>
      <w:r w:rsidR="00095F40" w:rsidRPr="00621720">
        <w:rPr>
          <w:lang w:val="en-US"/>
        </w:rPr>
        <w:t>that had been identified by the Advisory Committee</w:t>
      </w:r>
      <w:r w:rsidRPr="00621720">
        <w:rPr>
          <w:lang w:val="en-US"/>
        </w:rPr>
        <w:t xml:space="preserve"> </w:t>
      </w:r>
      <w:r w:rsidR="00901B0C" w:rsidRPr="00621720">
        <w:rPr>
          <w:lang w:val="en-US"/>
        </w:rPr>
        <w:t>for the establishment and operation of moni</w:t>
      </w:r>
      <w:r w:rsidR="00ED5B55" w:rsidRPr="00621720">
        <w:rPr>
          <w:lang w:val="en-US"/>
        </w:rPr>
        <w:t xml:space="preserve">toring stations </w:t>
      </w:r>
      <w:proofErr w:type="gramStart"/>
      <w:r w:rsidR="00B61C40" w:rsidRPr="00621720">
        <w:rPr>
          <w:lang w:val="en-US"/>
        </w:rPr>
        <w:t>on the basis of</w:t>
      </w:r>
      <w:proofErr w:type="gramEnd"/>
      <w:r w:rsidR="00B61C40" w:rsidRPr="00621720">
        <w:rPr>
          <w:lang w:val="en-US"/>
        </w:rPr>
        <w:t xml:space="preserve"> emissions patterns, wind fields, available infrastructure and scientific expertise. She </w:t>
      </w:r>
      <w:r w:rsidR="004544E5" w:rsidRPr="00621720">
        <w:rPr>
          <w:lang w:val="en-US"/>
        </w:rPr>
        <w:t xml:space="preserve">listed </w:t>
      </w:r>
      <w:r w:rsidR="00734AAF" w:rsidRPr="00621720">
        <w:rPr>
          <w:lang w:val="en-US"/>
        </w:rPr>
        <w:t xml:space="preserve">the </w:t>
      </w:r>
      <w:r w:rsidRPr="00621720">
        <w:rPr>
          <w:lang w:val="en-US"/>
        </w:rPr>
        <w:t xml:space="preserve">parties that had </w:t>
      </w:r>
      <w:r w:rsidR="00F15A15" w:rsidRPr="00621720">
        <w:rPr>
          <w:lang w:val="en-US"/>
        </w:rPr>
        <w:t xml:space="preserve">formally </w:t>
      </w:r>
      <w:r w:rsidRPr="00621720">
        <w:rPr>
          <w:lang w:val="en-US"/>
        </w:rPr>
        <w:t>expressed</w:t>
      </w:r>
      <w:r w:rsidR="00644BDA" w:rsidRPr="00621720">
        <w:rPr>
          <w:lang w:val="en-US"/>
        </w:rPr>
        <w:t xml:space="preserve"> </w:t>
      </w:r>
      <w:r w:rsidRPr="00621720">
        <w:rPr>
          <w:lang w:val="en-US"/>
        </w:rPr>
        <w:t xml:space="preserve">interest </w:t>
      </w:r>
      <w:r w:rsidR="00900703" w:rsidRPr="00621720">
        <w:rPr>
          <w:lang w:val="en-US"/>
        </w:rPr>
        <w:t xml:space="preserve">to the Secretariat </w:t>
      </w:r>
      <w:r w:rsidRPr="00621720">
        <w:rPr>
          <w:lang w:val="en-US"/>
        </w:rPr>
        <w:t>in hosting monitoring stations on their territories, in particular Brazil, South Africa and Viet </w:t>
      </w:r>
      <w:r w:rsidRPr="00621720">
        <w:rPr>
          <w:color w:val="000000" w:themeColor="text1"/>
          <w:lang w:val="en-US"/>
        </w:rPr>
        <w:t>Nam</w:t>
      </w:r>
      <w:r w:rsidR="00FF6250" w:rsidRPr="00621720">
        <w:rPr>
          <w:color w:val="000000" w:themeColor="text1"/>
          <w:lang w:val="en-US"/>
        </w:rPr>
        <w:t xml:space="preserve">, all </w:t>
      </w:r>
      <w:r w:rsidR="00F15A15" w:rsidRPr="00621720">
        <w:rPr>
          <w:color w:val="000000" w:themeColor="text1"/>
          <w:lang w:val="en-US"/>
        </w:rPr>
        <w:t xml:space="preserve">of which </w:t>
      </w:r>
      <w:proofErr w:type="gramStart"/>
      <w:r w:rsidR="00F15A15" w:rsidRPr="00621720">
        <w:rPr>
          <w:color w:val="000000" w:themeColor="text1"/>
          <w:lang w:val="en-US"/>
        </w:rPr>
        <w:t xml:space="preserve">were </w:t>
      </w:r>
      <w:r w:rsidR="00E83F28" w:rsidRPr="00621720">
        <w:rPr>
          <w:color w:val="000000" w:themeColor="text1"/>
          <w:lang w:val="en-US"/>
        </w:rPr>
        <w:t>located</w:t>
      </w:r>
      <w:r w:rsidR="002166FE" w:rsidRPr="00621720">
        <w:rPr>
          <w:color w:val="000000" w:themeColor="text1"/>
          <w:lang w:val="en-US"/>
        </w:rPr>
        <w:t xml:space="preserve"> in</w:t>
      </w:r>
      <w:proofErr w:type="gramEnd"/>
      <w:r w:rsidR="002166FE" w:rsidRPr="00621720">
        <w:rPr>
          <w:color w:val="000000" w:themeColor="text1"/>
          <w:lang w:val="en-US"/>
        </w:rPr>
        <w:t xml:space="preserve"> </w:t>
      </w:r>
      <w:r w:rsidR="009B373B" w:rsidRPr="00621720">
        <w:rPr>
          <w:color w:val="000000" w:themeColor="text1"/>
          <w:lang w:val="en-US"/>
        </w:rPr>
        <w:t xml:space="preserve">regions that had </w:t>
      </w:r>
      <w:r w:rsidR="009B373B" w:rsidRPr="00621720">
        <w:rPr>
          <w:lang w:val="en-US"/>
        </w:rPr>
        <w:t xml:space="preserve">been </w:t>
      </w:r>
      <w:r w:rsidR="00E23D64" w:rsidRPr="00621720">
        <w:rPr>
          <w:lang w:val="en-US"/>
        </w:rPr>
        <w:t>prioritized</w:t>
      </w:r>
      <w:r w:rsidR="009B373B" w:rsidRPr="00621720">
        <w:rPr>
          <w:lang w:val="en-US"/>
        </w:rPr>
        <w:t xml:space="preserve"> by the </w:t>
      </w:r>
      <w:r w:rsidR="00413299" w:rsidRPr="00621720">
        <w:rPr>
          <w:lang w:val="en-US"/>
        </w:rPr>
        <w:t>Advisory Committee</w:t>
      </w:r>
      <w:r w:rsidR="676D5E15" w:rsidRPr="00621720">
        <w:rPr>
          <w:lang w:val="en-US"/>
        </w:rPr>
        <w:t>.</w:t>
      </w:r>
      <w:r w:rsidRPr="00621720">
        <w:rPr>
          <w:lang w:val="en-US"/>
        </w:rPr>
        <w:t xml:space="preserve"> </w:t>
      </w:r>
      <w:r w:rsidR="00A16A2D" w:rsidRPr="00621720">
        <w:rPr>
          <w:lang w:val="en-US"/>
        </w:rPr>
        <w:t xml:space="preserve">She also </w:t>
      </w:r>
      <w:r w:rsidR="00C41D49" w:rsidRPr="00621720">
        <w:rPr>
          <w:lang w:val="en-US"/>
        </w:rPr>
        <w:t>noted that</w:t>
      </w:r>
      <w:r w:rsidR="00F15A15" w:rsidRPr="00621720">
        <w:rPr>
          <w:lang w:val="en-US"/>
        </w:rPr>
        <w:t>,</w:t>
      </w:r>
      <w:r w:rsidR="00C41D49" w:rsidRPr="00621720">
        <w:rPr>
          <w:lang w:val="en-US"/>
        </w:rPr>
        <w:t xml:space="preserve"> since the </w:t>
      </w:r>
      <w:r w:rsidR="00F32E70" w:rsidRPr="00621720">
        <w:rPr>
          <w:lang w:val="en-US"/>
        </w:rPr>
        <w:t xml:space="preserve">forty-eighth meeting of the Open-ended Working Group, </w:t>
      </w:r>
      <w:r w:rsidR="00455200" w:rsidRPr="00621720">
        <w:rPr>
          <w:lang w:val="en-US"/>
        </w:rPr>
        <w:t xml:space="preserve">three </w:t>
      </w:r>
      <w:r w:rsidR="00AD641A" w:rsidRPr="00621720">
        <w:rPr>
          <w:lang w:val="en-US"/>
        </w:rPr>
        <w:t xml:space="preserve">additional parties </w:t>
      </w:r>
      <w:r w:rsidR="00E83F28" w:rsidRPr="00621720">
        <w:rPr>
          <w:lang w:val="en-US"/>
        </w:rPr>
        <w:t xml:space="preserve">that </w:t>
      </w:r>
      <w:proofErr w:type="gramStart"/>
      <w:r w:rsidR="00E83F28" w:rsidRPr="00621720">
        <w:rPr>
          <w:lang w:val="en-US"/>
        </w:rPr>
        <w:t xml:space="preserve">were located </w:t>
      </w:r>
      <w:r w:rsidR="00AD641A" w:rsidRPr="00621720">
        <w:rPr>
          <w:lang w:val="en-US"/>
        </w:rPr>
        <w:t>in</w:t>
      </w:r>
      <w:proofErr w:type="gramEnd"/>
      <w:r w:rsidR="00AD641A" w:rsidRPr="00621720">
        <w:rPr>
          <w:lang w:val="en-US"/>
        </w:rPr>
        <w:t xml:space="preserve"> </w:t>
      </w:r>
      <w:r w:rsidR="00272746" w:rsidRPr="00621720">
        <w:rPr>
          <w:lang w:val="en-US"/>
        </w:rPr>
        <w:t xml:space="preserve">the </w:t>
      </w:r>
      <w:r w:rsidR="00C909B6" w:rsidRPr="00621720">
        <w:rPr>
          <w:lang w:val="en-US"/>
        </w:rPr>
        <w:t>five remaining</w:t>
      </w:r>
      <w:r w:rsidR="00AD641A" w:rsidRPr="00621720">
        <w:rPr>
          <w:lang w:val="en-US"/>
        </w:rPr>
        <w:t xml:space="preserve"> regions</w:t>
      </w:r>
      <w:r w:rsidR="00C909B6" w:rsidRPr="00621720">
        <w:t xml:space="preserve"> </w:t>
      </w:r>
      <w:r w:rsidR="00C909B6" w:rsidRPr="00621720">
        <w:rPr>
          <w:lang w:val="en-US"/>
        </w:rPr>
        <w:t>yet to be fully evaluated</w:t>
      </w:r>
      <w:r w:rsidR="00B8041F" w:rsidRPr="00621720">
        <w:rPr>
          <w:lang w:val="en-US"/>
        </w:rPr>
        <w:t xml:space="preserve">, </w:t>
      </w:r>
      <w:r w:rsidR="00FA098E" w:rsidRPr="00621720">
        <w:rPr>
          <w:lang w:val="en-US"/>
        </w:rPr>
        <w:t xml:space="preserve">namely </w:t>
      </w:r>
      <w:r w:rsidR="00B8041F" w:rsidRPr="00621720">
        <w:rPr>
          <w:lang w:val="en-US"/>
        </w:rPr>
        <w:t>Bangladesh, Ecuador and Mexico,</w:t>
      </w:r>
      <w:r w:rsidR="00AD641A" w:rsidRPr="00621720">
        <w:rPr>
          <w:lang w:val="en-US"/>
        </w:rPr>
        <w:t xml:space="preserve"> </w:t>
      </w:r>
      <w:r w:rsidR="00617BCE" w:rsidRPr="00621720">
        <w:rPr>
          <w:lang w:val="en-US"/>
        </w:rPr>
        <w:t xml:space="preserve">had </w:t>
      </w:r>
      <w:r w:rsidR="007208C8" w:rsidRPr="00621720">
        <w:rPr>
          <w:lang w:val="en-US"/>
        </w:rPr>
        <w:t xml:space="preserve">informally </w:t>
      </w:r>
      <w:r w:rsidR="003D5523" w:rsidRPr="00621720">
        <w:rPr>
          <w:lang w:val="en-US"/>
        </w:rPr>
        <w:t xml:space="preserve">expressed </w:t>
      </w:r>
      <w:r w:rsidR="007208C8" w:rsidRPr="00621720">
        <w:rPr>
          <w:lang w:val="en-US"/>
        </w:rPr>
        <w:t>interest in hosting stations</w:t>
      </w:r>
      <w:r w:rsidR="00B61C40" w:rsidRPr="00621720">
        <w:rPr>
          <w:lang w:val="en-US"/>
        </w:rPr>
        <w:t xml:space="preserve">. </w:t>
      </w:r>
      <w:r w:rsidR="676D5E15" w:rsidRPr="00621720">
        <w:rPr>
          <w:lang w:val="en-US"/>
        </w:rPr>
        <w:t>Mr.</w:t>
      </w:r>
      <w:r w:rsidRPr="00621720">
        <w:rPr>
          <w:lang w:val="en-US"/>
        </w:rPr>
        <w:t> Ravishankara</w:t>
      </w:r>
      <w:r w:rsidR="676D5E15" w:rsidRPr="00621720">
        <w:rPr>
          <w:lang w:val="en-US"/>
        </w:rPr>
        <w:t xml:space="preserve"> </w:t>
      </w:r>
      <w:r w:rsidR="00B55F06" w:rsidRPr="00621720">
        <w:rPr>
          <w:lang w:val="en-US"/>
        </w:rPr>
        <w:t>showed</w:t>
      </w:r>
      <w:r w:rsidRPr="00621720">
        <w:rPr>
          <w:lang w:val="en-US"/>
        </w:rPr>
        <w:t xml:space="preserve"> </w:t>
      </w:r>
      <w:r w:rsidR="00B955B8" w:rsidRPr="00621720">
        <w:rPr>
          <w:lang w:val="en-US"/>
        </w:rPr>
        <w:t>how the</w:t>
      </w:r>
      <w:r w:rsidR="0044224F" w:rsidRPr="00621720">
        <w:rPr>
          <w:lang w:val="en-US"/>
        </w:rPr>
        <w:t xml:space="preserve"> </w:t>
      </w:r>
      <w:r w:rsidRPr="00621720">
        <w:rPr>
          <w:lang w:val="en-US"/>
        </w:rPr>
        <w:t>10 locations proposed by the Advisory Committee</w:t>
      </w:r>
      <w:r w:rsidR="00B955B8" w:rsidRPr="00621720">
        <w:rPr>
          <w:lang w:val="en-US"/>
        </w:rPr>
        <w:t xml:space="preserve"> </w:t>
      </w:r>
      <w:r w:rsidR="0044224F" w:rsidRPr="00621720">
        <w:rPr>
          <w:lang w:val="en-US"/>
        </w:rPr>
        <w:t xml:space="preserve">could </w:t>
      </w:r>
      <w:r w:rsidR="00272746" w:rsidRPr="00621720">
        <w:rPr>
          <w:lang w:val="en-US"/>
        </w:rPr>
        <w:t xml:space="preserve">fill the gaps </w:t>
      </w:r>
      <w:r w:rsidR="00545624" w:rsidRPr="00621720">
        <w:rPr>
          <w:lang w:val="en-US"/>
        </w:rPr>
        <w:t>in atmospheric monitoring in under-sampled</w:t>
      </w:r>
      <w:r w:rsidR="00272746" w:rsidRPr="00621720">
        <w:rPr>
          <w:lang w:val="en-US"/>
        </w:rPr>
        <w:t xml:space="preserve"> </w:t>
      </w:r>
      <w:r w:rsidR="00671531" w:rsidRPr="00621720">
        <w:rPr>
          <w:lang w:val="en-US"/>
        </w:rPr>
        <w:t xml:space="preserve">regions around the </w:t>
      </w:r>
      <w:proofErr w:type="gramStart"/>
      <w:r w:rsidR="00671531" w:rsidRPr="00621720">
        <w:rPr>
          <w:lang w:val="en-US"/>
        </w:rPr>
        <w:t>globe</w:t>
      </w:r>
      <w:r w:rsidRPr="00621720">
        <w:rPr>
          <w:lang w:val="en-US"/>
        </w:rPr>
        <w:t>, and</w:t>
      </w:r>
      <w:proofErr w:type="gramEnd"/>
      <w:r w:rsidRPr="00621720">
        <w:rPr>
          <w:lang w:val="en-US"/>
        </w:rPr>
        <w:t xml:space="preserve"> </w:t>
      </w:r>
      <w:r w:rsidR="00E83F28" w:rsidRPr="00621720">
        <w:rPr>
          <w:lang w:val="en-US"/>
        </w:rPr>
        <w:t>provided an update</w:t>
      </w:r>
      <w:r w:rsidR="000950FD" w:rsidRPr="00621720">
        <w:rPr>
          <w:lang w:val="en-US"/>
        </w:rPr>
        <w:t xml:space="preserve"> on </w:t>
      </w:r>
      <w:r w:rsidR="007D5352" w:rsidRPr="00621720">
        <w:rPr>
          <w:lang w:val="en-US"/>
        </w:rPr>
        <w:t xml:space="preserve">consultations </w:t>
      </w:r>
      <w:r w:rsidR="00E83F28" w:rsidRPr="00621720">
        <w:rPr>
          <w:lang w:val="en-US"/>
        </w:rPr>
        <w:t xml:space="preserve">held </w:t>
      </w:r>
      <w:r w:rsidR="00A67369" w:rsidRPr="00621720">
        <w:rPr>
          <w:lang w:val="en-US"/>
        </w:rPr>
        <w:t xml:space="preserve">with some </w:t>
      </w:r>
      <w:r w:rsidR="00D804A8" w:rsidRPr="00621720">
        <w:rPr>
          <w:lang w:val="en-US"/>
        </w:rPr>
        <w:t xml:space="preserve">of the </w:t>
      </w:r>
      <w:r w:rsidR="00E83F28" w:rsidRPr="00621720">
        <w:rPr>
          <w:lang w:val="en-US"/>
        </w:rPr>
        <w:t xml:space="preserve">interested </w:t>
      </w:r>
      <w:r w:rsidR="00D804A8" w:rsidRPr="00621720">
        <w:rPr>
          <w:lang w:val="en-US"/>
        </w:rPr>
        <w:t>parties</w:t>
      </w:r>
      <w:r w:rsidR="00ED6D5C" w:rsidRPr="00621720">
        <w:rPr>
          <w:lang w:val="en-US"/>
        </w:rPr>
        <w:t xml:space="preserve">. </w:t>
      </w:r>
      <w:r w:rsidR="00E0768C" w:rsidRPr="00621720">
        <w:rPr>
          <w:lang w:val="en-US"/>
        </w:rPr>
        <w:t xml:space="preserve">He noted </w:t>
      </w:r>
      <w:r w:rsidR="004E5978" w:rsidRPr="00621720">
        <w:rPr>
          <w:lang w:val="en-US"/>
        </w:rPr>
        <w:t>that i</w:t>
      </w:r>
      <w:r w:rsidRPr="00621720">
        <w:rPr>
          <w:lang w:val="en-US"/>
        </w:rPr>
        <w:t>nitial discussions had been held with the Government of India. Mr. Ravishankara also provided an overview of the work of the Advisory Committee at its twenty</w:t>
      </w:r>
      <w:r w:rsidRPr="00621720">
        <w:noBreakHyphen/>
      </w:r>
      <w:r w:rsidRPr="00621720">
        <w:rPr>
          <w:lang w:val="en-US"/>
        </w:rPr>
        <w:t xml:space="preserve">first meeting, which </w:t>
      </w:r>
      <w:r w:rsidR="001D1245" w:rsidRPr="00621720">
        <w:rPr>
          <w:lang w:val="en-US"/>
        </w:rPr>
        <w:t>had been</w:t>
      </w:r>
      <w:r w:rsidRPr="00621720">
        <w:rPr>
          <w:lang w:val="en-US"/>
        </w:rPr>
        <w:t xml:space="preserve"> held online on 19</w:t>
      </w:r>
      <w:r w:rsidR="00FA098E" w:rsidRPr="00621720">
        <w:rPr>
          <w:lang w:val="en-US"/>
        </w:rPr>
        <w:t> </w:t>
      </w:r>
      <w:r w:rsidRPr="00621720">
        <w:rPr>
          <w:lang w:val="en-US"/>
        </w:rPr>
        <w:t>October 2026, including on emerging concerns, such as consistency across scientific processes, the development of procedures for the provision of scientific direction, clarification of the Committee’s role in project development and implementation, and the recognition that the atmospheric monitoring of controlled substances was more of a research-oriented project than a routine operational one.</w:t>
      </w:r>
    </w:p>
    <w:p w14:paraId="5837C95F" w14:textId="5F52C2ED" w:rsidR="005B1563" w:rsidRPr="00621720" w:rsidRDefault="005B1563" w:rsidP="005B1563">
      <w:pPr>
        <w:pStyle w:val="Normalnumber"/>
        <w:tabs>
          <w:tab w:val="left" w:pos="624"/>
        </w:tabs>
        <w:rPr>
          <w:lang w:val="en-US"/>
        </w:rPr>
      </w:pPr>
      <w:r w:rsidRPr="00621720">
        <w:rPr>
          <w:lang w:val="en-US"/>
        </w:rPr>
        <w:t xml:space="preserve">In the ensuing question-and-answer session, in response to questions about the level of accuracy of monitoring, the effective reach of a monitoring station, the implications of the measurement, by </w:t>
      </w:r>
      <w:r w:rsidR="007A02C0" w:rsidRPr="00621720">
        <w:rPr>
          <w:lang w:val="en-US"/>
        </w:rPr>
        <w:t>that</w:t>
      </w:r>
      <w:r w:rsidRPr="00621720">
        <w:rPr>
          <w:lang w:val="en-US"/>
        </w:rPr>
        <w:t xml:space="preserve"> station, of domestic emissions and emissions from other countries, and the procedures for data-sharing and ownership, Mr. Ravishankara confirmed that the emissions detected in a location could indeed originate from </w:t>
      </w:r>
      <w:proofErr w:type="spellStart"/>
      <w:r w:rsidRPr="00621720">
        <w:rPr>
          <w:lang w:val="en-US"/>
        </w:rPr>
        <w:t>neighbouring</w:t>
      </w:r>
      <w:proofErr w:type="spellEnd"/>
      <w:r w:rsidRPr="00621720">
        <w:rPr>
          <w:lang w:val="en-US"/>
        </w:rPr>
        <w:t xml:space="preserve"> countries, from some 500–1,000 km away. The further away a station was from the source, the less accurate its measurements. Accuracy was affected not only by distance but also by the precision with which measurements were made and the accuracy with which emissions were then inferred. Scientists made the measurements, and their data were often peer-reviewed, but the exact ownership of the data on emissions from a country other than that in which the monitoring station was situated was a matter for the parties to consider.</w:t>
      </w:r>
    </w:p>
    <w:p w14:paraId="6F352C95" w14:textId="73CF6760" w:rsidR="005B1563" w:rsidRPr="00621720" w:rsidRDefault="005B1563" w:rsidP="005B1563">
      <w:pPr>
        <w:pStyle w:val="Normalnumber"/>
        <w:tabs>
          <w:tab w:val="left" w:pos="624"/>
        </w:tabs>
        <w:rPr>
          <w:lang w:val="en-US"/>
        </w:rPr>
      </w:pPr>
      <w:r w:rsidRPr="00621720">
        <w:rPr>
          <w:lang w:val="en-US"/>
        </w:rPr>
        <w:t xml:space="preserve">In response to a question about ownership of the scientific guidelines and advice on the establishment of stations and whether decisions would need to be approved by the parties, Ms. Mylona said that scientists on the Advisory Committee deliberated </w:t>
      </w:r>
      <w:r w:rsidR="000008D7" w:rsidRPr="00621720">
        <w:rPr>
          <w:lang w:val="en-US"/>
        </w:rPr>
        <w:t xml:space="preserve">on </w:t>
      </w:r>
      <w:r w:rsidRPr="00621720">
        <w:rPr>
          <w:lang w:val="en-US"/>
        </w:rPr>
        <w:t xml:space="preserve">the evidence and then advised the Ozone Secretariat, which reported to the Meeting of the Parties. She noted that the thirteenth meeting of the Ozone Research Managers would be held in 2027, and the enhancement of atmospheric monitoring was likely to be a key item on the agenda at that meeting. As usual, their recommendations would be forwarded to the </w:t>
      </w:r>
      <w:r w:rsidR="00472C45" w:rsidRPr="00621720">
        <w:rPr>
          <w:lang w:val="en-US"/>
        </w:rPr>
        <w:t xml:space="preserve">Conference of the </w:t>
      </w:r>
      <w:r w:rsidRPr="00621720">
        <w:rPr>
          <w:lang w:val="en-US"/>
        </w:rPr>
        <w:t>Parties</w:t>
      </w:r>
      <w:r w:rsidR="00472C45" w:rsidRPr="00621720">
        <w:rPr>
          <w:lang w:val="en-US"/>
        </w:rPr>
        <w:t xml:space="preserve"> to the Vienna Con</w:t>
      </w:r>
      <w:r w:rsidR="00B224B1" w:rsidRPr="00621720">
        <w:rPr>
          <w:lang w:val="en-US"/>
        </w:rPr>
        <w:t xml:space="preserve">vention </w:t>
      </w:r>
      <w:r w:rsidR="00F15A15" w:rsidRPr="00621720">
        <w:rPr>
          <w:lang w:val="en-US"/>
        </w:rPr>
        <w:t xml:space="preserve">at its </w:t>
      </w:r>
      <w:r w:rsidR="00E0768C" w:rsidRPr="00621720">
        <w:rPr>
          <w:lang w:val="en-US"/>
        </w:rPr>
        <w:t xml:space="preserve">fourteenth </w:t>
      </w:r>
      <w:r w:rsidR="00F15A15" w:rsidRPr="00621720">
        <w:rPr>
          <w:lang w:val="en-US"/>
        </w:rPr>
        <w:t>meeting</w:t>
      </w:r>
      <w:r w:rsidR="00E0768C" w:rsidRPr="00621720">
        <w:rPr>
          <w:lang w:val="en-US"/>
        </w:rPr>
        <w:t>,</w:t>
      </w:r>
      <w:r w:rsidR="00F15A15" w:rsidRPr="00621720">
        <w:rPr>
          <w:lang w:val="en-US"/>
        </w:rPr>
        <w:t xml:space="preserve"> </w:t>
      </w:r>
      <w:r w:rsidR="00B224B1" w:rsidRPr="00621720">
        <w:rPr>
          <w:lang w:val="en-US"/>
        </w:rPr>
        <w:t xml:space="preserve">to be held </w:t>
      </w:r>
      <w:r w:rsidR="00E0768C" w:rsidRPr="00621720">
        <w:rPr>
          <w:lang w:val="en-US"/>
        </w:rPr>
        <w:t>in late</w:t>
      </w:r>
      <w:r w:rsidR="00B224B1" w:rsidRPr="00621720">
        <w:rPr>
          <w:lang w:val="en-US"/>
        </w:rPr>
        <w:t xml:space="preserve"> 2027</w:t>
      </w:r>
      <w:r w:rsidRPr="00621720">
        <w:rPr>
          <w:lang w:val="en-US"/>
        </w:rPr>
        <w:t xml:space="preserve">. Mr. Ravishankara said that parties should be cognizant of the consequences of potential delays in </w:t>
      </w:r>
      <w:proofErr w:type="gramStart"/>
      <w:r w:rsidRPr="00621720">
        <w:rPr>
          <w:lang w:val="en-US"/>
        </w:rPr>
        <w:t>taking action</w:t>
      </w:r>
      <w:proofErr w:type="gramEnd"/>
      <w:r w:rsidRPr="00621720">
        <w:rPr>
          <w:lang w:val="en-US"/>
        </w:rPr>
        <w:t xml:space="preserve"> if every decision had to be </w:t>
      </w:r>
      <w:proofErr w:type="gramStart"/>
      <w:r w:rsidRPr="00621720">
        <w:rPr>
          <w:lang w:val="en-US"/>
        </w:rPr>
        <w:t>taken</w:t>
      </w:r>
      <w:proofErr w:type="gramEnd"/>
      <w:r w:rsidRPr="00621720">
        <w:rPr>
          <w:lang w:val="en-US"/>
        </w:rPr>
        <w:t xml:space="preserve"> by a Meeting of the Parties. </w:t>
      </w:r>
    </w:p>
    <w:p w14:paraId="65FC3F9F" w14:textId="77777777" w:rsidR="005B1563" w:rsidRPr="00621720" w:rsidRDefault="005B1563" w:rsidP="005B1563">
      <w:pPr>
        <w:pStyle w:val="Normalnumber"/>
        <w:tabs>
          <w:tab w:val="left" w:pos="624"/>
        </w:tabs>
        <w:rPr>
          <w:lang w:val="en-US"/>
        </w:rPr>
      </w:pPr>
      <w:r w:rsidRPr="00621720">
        <w:rPr>
          <w:lang w:val="en-US"/>
        </w:rPr>
        <w:t xml:space="preserve">Responding to questions about the technical steps that parties needed to take to propose their territories as possible sites for a monitoring station, Mr. Ravishankara advised parties to provide information about any existing stations, the existing scientific expertise in their country and the infrastructure available. </w:t>
      </w:r>
    </w:p>
    <w:p w14:paraId="19219B65" w14:textId="17DB1A02" w:rsidR="005B1563" w:rsidRPr="00621720" w:rsidRDefault="005B1563" w:rsidP="005B1563">
      <w:pPr>
        <w:pStyle w:val="Normalnumber"/>
        <w:tabs>
          <w:tab w:val="left" w:pos="624"/>
        </w:tabs>
        <w:rPr>
          <w:lang w:val="en-US"/>
        </w:rPr>
      </w:pPr>
      <w:r w:rsidRPr="00621720">
        <w:rPr>
          <w:lang w:val="en-US"/>
        </w:rPr>
        <w:t xml:space="preserve">Providing an update on the discussion with representatives of Ecuador, Mr. Ravishankara said that observing system simulation experiments had yet to be conducted </w:t>
      </w:r>
      <w:r w:rsidR="00930F35" w:rsidRPr="00621720">
        <w:rPr>
          <w:lang w:val="en-US"/>
        </w:rPr>
        <w:t xml:space="preserve">for </w:t>
      </w:r>
      <w:r w:rsidR="003006FE" w:rsidRPr="00621720">
        <w:rPr>
          <w:lang w:val="en-US"/>
        </w:rPr>
        <w:t xml:space="preserve">an </w:t>
      </w:r>
      <w:r w:rsidR="00930F35" w:rsidRPr="00621720">
        <w:rPr>
          <w:lang w:val="en-US"/>
        </w:rPr>
        <w:t xml:space="preserve">identified location in Ecuador </w:t>
      </w:r>
      <w:r w:rsidRPr="00621720">
        <w:rPr>
          <w:lang w:val="en-US"/>
        </w:rPr>
        <w:t>and that the Advisory Committee’s discussions had been predominantly with scientists from Ecuador. Ms. Mylona confirmed that the expression of interest from the Government of Ecuador had been made informally by email</w:t>
      </w:r>
      <w:r w:rsidR="000A687C" w:rsidRPr="00621720">
        <w:rPr>
          <w:lang w:val="en-US"/>
        </w:rPr>
        <w:t xml:space="preserve"> and advised </w:t>
      </w:r>
      <w:r w:rsidR="00523E3C" w:rsidRPr="00621720">
        <w:rPr>
          <w:lang w:val="en-US"/>
        </w:rPr>
        <w:t>th</w:t>
      </w:r>
      <w:r w:rsidR="00B3399D" w:rsidRPr="00621720">
        <w:rPr>
          <w:lang w:val="en-US"/>
        </w:rPr>
        <w:t>e party to</w:t>
      </w:r>
      <w:r w:rsidR="00B12D9A" w:rsidRPr="00621720">
        <w:rPr>
          <w:lang w:val="en-US"/>
        </w:rPr>
        <w:t xml:space="preserve"> </w:t>
      </w:r>
      <w:r w:rsidR="00A96ACC" w:rsidRPr="00621720">
        <w:rPr>
          <w:lang w:val="en-US"/>
        </w:rPr>
        <w:t xml:space="preserve">communicate to the Secretariat </w:t>
      </w:r>
      <w:r w:rsidR="003B0808" w:rsidRPr="00621720">
        <w:rPr>
          <w:lang w:val="en-US"/>
        </w:rPr>
        <w:t xml:space="preserve">possible </w:t>
      </w:r>
      <w:r w:rsidR="00931B3C" w:rsidRPr="00621720">
        <w:rPr>
          <w:lang w:val="en-US"/>
        </w:rPr>
        <w:t>sites in</w:t>
      </w:r>
      <w:r w:rsidR="00EC74F6" w:rsidRPr="00621720">
        <w:rPr>
          <w:lang w:val="en-US"/>
        </w:rPr>
        <w:t xml:space="preserve"> the country where</w:t>
      </w:r>
      <w:r w:rsidR="002D6F7B" w:rsidRPr="00621720">
        <w:rPr>
          <w:lang w:val="en-US"/>
        </w:rPr>
        <w:t xml:space="preserve"> stations could be </w:t>
      </w:r>
      <w:r w:rsidR="005C0F46" w:rsidRPr="00621720">
        <w:rPr>
          <w:lang w:val="en-US"/>
        </w:rPr>
        <w:t>established</w:t>
      </w:r>
      <w:r w:rsidR="00F15A15" w:rsidRPr="00621720">
        <w:rPr>
          <w:lang w:val="en-US"/>
        </w:rPr>
        <w:t>,</w:t>
      </w:r>
      <w:r w:rsidR="005C0F46" w:rsidRPr="00621720">
        <w:rPr>
          <w:lang w:val="en-US"/>
        </w:rPr>
        <w:t xml:space="preserve"> for the consideration of the Advisory Committee</w:t>
      </w:r>
      <w:r w:rsidRPr="00621720">
        <w:rPr>
          <w:lang w:val="en-US"/>
        </w:rPr>
        <w:t>. Mr. Ravishankara proposed that, as the next step, the request by the Government of Ecuador be formalized.</w:t>
      </w:r>
    </w:p>
    <w:p w14:paraId="395322FF" w14:textId="0C541CA4" w:rsidR="005B1563" w:rsidRPr="00621720" w:rsidRDefault="005B1563" w:rsidP="005B1563">
      <w:pPr>
        <w:pStyle w:val="Normalnumber"/>
        <w:tabs>
          <w:tab w:val="left" w:pos="624"/>
        </w:tabs>
        <w:rPr>
          <w:lang w:val="en-US"/>
        </w:rPr>
      </w:pPr>
      <w:r w:rsidRPr="00621720">
        <w:rPr>
          <w:lang w:val="en-US"/>
        </w:rPr>
        <w:t>Responding to a question about the value of a potential monitoring station in Mexico, Mr. Ravishankara said that, while stations in the United States of America could undoubtedly pick up emissions from Mexico, a station in Mexico would help not only with the measurement of emissions from Mexico but also from elsewhere in Central America. Mr. Mont</w:t>
      </w:r>
      <w:r w:rsidR="004F3BDF" w:rsidRPr="00621720">
        <w:rPr>
          <w:lang w:val="en-US"/>
        </w:rPr>
        <w:t>z</w:t>
      </w:r>
      <w:r w:rsidRPr="00621720">
        <w:rPr>
          <w:lang w:val="en-US"/>
        </w:rPr>
        <w:t xml:space="preserve">ka added that a location in Mexico would give a better understanding of emissions in Mexico, with a higher spatial resolution, and enhance the accuracy and quantification of emissions from Mexico, which could be substantially different on a per capita basis, seasonally, and as a function of other variables, from emissions from the United States. </w:t>
      </w:r>
    </w:p>
    <w:p w14:paraId="4572580B" w14:textId="11DB651F" w:rsidR="005B1563" w:rsidRPr="00621720" w:rsidRDefault="005B1563" w:rsidP="005B1563">
      <w:pPr>
        <w:pStyle w:val="Normalnumber"/>
        <w:tabs>
          <w:tab w:val="left" w:pos="624"/>
        </w:tabs>
        <w:rPr>
          <w:lang w:val="en-US"/>
        </w:rPr>
      </w:pPr>
      <w:r w:rsidRPr="00621720">
        <w:rPr>
          <w:lang w:val="en-US"/>
        </w:rPr>
        <w:t xml:space="preserve">The representative of Tunisia expressed his party’s interest in hosting a monitoring station, while the representative of Saudi Arabia sought to correct information given in the presentation, </w:t>
      </w:r>
      <w:r w:rsidR="00E0768C" w:rsidRPr="00621720">
        <w:rPr>
          <w:lang w:val="en-US"/>
        </w:rPr>
        <w:t xml:space="preserve">noting </w:t>
      </w:r>
      <w:r w:rsidR="00E0768C" w:rsidRPr="00621720">
        <w:rPr>
          <w:lang w:val="en-US"/>
        </w:rPr>
        <w:lastRenderedPageBreak/>
        <w:t>that</w:t>
      </w:r>
      <w:r w:rsidRPr="00621720">
        <w:rPr>
          <w:lang w:val="en-US"/>
        </w:rPr>
        <w:t xml:space="preserve"> there had been no formal discussion concerning his party’s hosting of a station. The representative of Brazil reiterated her party’s interest in exploring the possibility of hosting an atmospheric monitoring station on its territory.</w:t>
      </w:r>
    </w:p>
    <w:p w14:paraId="4EA87BCE" w14:textId="77777777" w:rsidR="005B1563" w:rsidRPr="00621720" w:rsidRDefault="005B1563" w:rsidP="005B1563">
      <w:pPr>
        <w:pStyle w:val="Normalnumber"/>
        <w:tabs>
          <w:tab w:val="left" w:pos="624"/>
        </w:tabs>
        <w:rPr>
          <w:lang w:val="en-US"/>
        </w:rPr>
      </w:pPr>
      <w:r w:rsidRPr="00621720">
        <w:rPr>
          <w:lang w:val="en-US"/>
        </w:rPr>
        <w:t xml:space="preserve">In response to a question about the criteria for choosing sites, Mr. Ravishankara confirmed that key considerations included wind direction, topography and height, which were looked at in observing system simulation experiments. </w:t>
      </w:r>
    </w:p>
    <w:p w14:paraId="30A27790" w14:textId="7F57A0A3" w:rsidR="005B1563" w:rsidRPr="00621720" w:rsidRDefault="005B1563" w:rsidP="005B1563">
      <w:pPr>
        <w:pStyle w:val="Normalnumber"/>
        <w:tabs>
          <w:tab w:val="left" w:pos="624"/>
        </w:tabs>
        <w:rPr>
          <w:lang w:val="en-US"/>
        </w:rPr>
      </w:pPr>
      <w:r w:rsidRPr="00621720">
        <w:rPr>
          <w:lang w:val="en-US"/>
        </w:rPr>
        <w:t xml:space="preserve">In response to a question about why there were still gaps in atmospheric monitoring, Mr. Ravishankara said that there were two ways of measuring emissions from all the regions in the world: first, using satellites, which would give global coverage but was not possible; and second, by means of hundreds of monitoring sites. As that was also not feasible, including for financial reasons, a prioritization process had been conducted. Within the available resources, the Committee had identified the regions </w:t>
      </w:r>
      <w:r w:rsidR="00323B69" w:rsidRPr="00621720">
        <w:rPr>
          <w:lang w:val="en-US"/>
        </w:rPr>
        <w:t xml:space="preserve">that were </w:t>
      </w:r>
      <w:r w:rsidRPr="00621720">
        <w:rPr>
          <w:lang w:val="en-US"/>
        </w:rPr>
        <w:t xml:space="preserve">most likely to exhibit the emissions that needed to be detected. </w:t>
      </w:r>
    </w:p>
    <w:p w14:paraId="63D18E1A" w14:textId="77777777" w:rsidR="005B1563" w:rsidRPr="00621720" w:rsidRDefault="005B1563" w:rsidP="005B1563">
      <w:pPr>
        <w:pStyle w:val="Normalnumber"/>
        <w:tabs>
          <w:tab w:val="left" w:pos="624"/>
        </w:tabs>
        <w:rPr>
          <w:lang w:val="en-US"/>
        </w:rPr>
      </w:pPr>
      <w:r w:rsidRPr="00621720">
        <w:rPr>
          <w:lang w:val="en-US"/>
        </w:rPr>
        <w:t xml:space="preserve">In response to a question about the documentation available to parties to help them understand the process and the background to efforts to enhance regional atmospheric monitoring, Ms. Mylona and Mr. Ravishankara said that the starting point was the white paper entitled “Closing the gaps in top-down regional emissions quantification: Needs and action plan”, produced by the Scientific Assessment Panel and discussed at the twelfth meeting of the Ozone Research Managers in 2021. Subsequently, a paper by Ray Weiss, Mr. </w:t>
      </w:r>
      <w:proofErr w:type="spellStart"/>
      <w:r w:rsidRPr="00621720">
        <w:rPr>
          <w:lang w:val="en-US"/>
        </w:rPr>
        <w:t>Ravishankara</w:t>
      </w:r>
      <w:proofErr w:type="spellEnd"/>
      <w:r w:rsidRPr="00621720">
        <w:rPr>
          <w:lang w:val="en-US"/>
        </w:rPr>
        <w:t xml:space="preserve"> and Paul Newman had been published in the journal </w:t>
      </w:r>
      <w:r w:rsidRPr="00621720">
        <w:rPr>
          <w:i/>
          <w:iCs/>
          <w:lang w:val="en-US"/>
        </w:rPr>
        <w:t>Nature</w:t>
      </w:r>
      <w:r w:rsidRPr="00621720">
        <w:rPr>
          <w:lang w:val="en-US"/>
        </w:rPr>
        <w:t xml:space="preserve"> in 2021, and many relevant pre-session documents and meeting reports had also been produced.</w:t>
      </w:r>
    </w:p>
    <w:p w14:paraId="79455D86" w14:textId="77777777" w:rsidR="005B1563" w:rsidRPr="00621720" w:rsidRDefault="005B1563" w:rsidP="005B1563">
      <w:pPr>
        <w:pStyle w:val="Normalnumber"/>
        <w:tabs>
          <w:tab w:val="left" w:pos="624"/>
        </w:tabs>
        <w:rPr>
          <w:lang w:val="en-US"/>
        </w:rPr>
      </w:pPr>
      <w:r w:rsidRPr="00621720">
        <w:rPr>
          <w:lang w:val="en-US"/>
        </w:rPr>
        <w:t>In response to a request for more information on the charter being developed by the Advisory Committee, Mr. Ravishankara said that the Advisory Committee would develop its charter over the coming months and that it would indeed clarify the Committee’s roles and responsibilities in assessing and supporting proposals for new stations. He said that he expected to be able to provide more information in that regard in early 2027.</w:t>
      </w:r>
    </w:p>
    <w:p w14:paraId="7521D4F6" w14:textId="54DD1A6F" w:rsidR="005B1563" w:rsidRPr="00621720" w:rsidRDefault="005B1563" w:rsidP="00FF6EC8">
      <w:pPr>
        <w:pStyle w:val="Normalnumber"/>
        <w:tabs>
          <w:tab w:val="left" w:pos="624"/>
        </w:tabs>
        <w:rPr>
          <w:lang w:val="en-US"/>
        </w:rPr>
      </w:pPr>
      <w:r w:rsidRPr="00621720">
        <w:rPr>
          <w:lang w:val="en-US"/>
        </w:rPr>
        <w:t>The representative of the European Union introduced a proposal for a draft decision</w:t>
      </w:r>
      <w:r w:rsidR="001D1245" w:rsidRPr="00621720">
        <w:rPr>
          <w:lang w:val="en-US"/>
        </w:rPr>
        <w:t>,</w:t>
      </w:r>
      <w:r w:rsidRPr="00621720">
        <w:rPr>
          <w:lang w:val="en-US"/>
        </w:rPr>
        <w:t xml:space="preserve"> set out in a conference room paper. He confirmed the availability of the €4.5 million grant intended for the General Trust Fund as </w:t>
      </w:r>
      <w:r w:rsidR="00BF6E83" w:rsidRPr="00621720">
        <w:rPr>
          <w:lang w:val="en-US"/>
        </w:rPr>
        <w:t>described</w:t>
      </w:r>
      <w:r w:rsidRPr="00621720">
        <w:rPr>
          <w:lang w:val="en-US"/>
        </w:rPr>
        <w:t xml:space="preserve"> by the Advisory Committee and said that much had already been achieved towards enhancing atmospheric monitoring, with parties now in the </w:t>
      </w:r>
      <w:proofErr w:type="spellStart"/>
      <w:r w:rsidRPr="00621720">
        <w:rPr>
          <w:lang w:val="en-US"/>
        </w:rPr>
        <w:t>favourable</w:t>
      </w:r>
      <w:proofErr w:type="spellEnd"/>
      <w:r w:rsidRPr="00621720">
        <w:rPr>
          <w:lang w:val="en-US"/>
        </w:rPr>
        <w:t xml:space="preserve"> position</w:t>
      </w:r>
      <w:r w:rsidR="00F15A15" w:rsidRPr="00621720">
        <w:rPr>
          <w:lang w:val="en-US"/>
        </w:rPr>
        <w:t xml:space="preserve"> of</w:t>
      </w:r>
      <w:r w:rsidR="00DF379C" w:rsidRPr="00621720">
        <w:rPr>
          <w:lang w:val="en-US"/>
        </w:rPr>
        <w:t xml:space="preserve"> </w:t>
      </w:r>
      <w:r w:rsidRPr="00621720">
        <w:rPr>
          <w:lang w:val="en-US"/>
        </w:rPr>
        <w:t xml:space="preserve">having sufficient funds to build at least six additional monitoring sites in priority regions. </w:t>
      </w:r>
      <w:proofErr w:type="gramStart"/>
      <w:r w:rsidRPr="00621720">
        <w:rPr>
          <w:lang w:val="en-US"/>
        </w:rPr>
        <w:t>A number of</w:t>
      </w:r>
      <w:proofErr w:type="gramEnd"/>
      <w:r w:rsidRPr="00621720">
        <w:rPr>
          <w:lang w:val="en-US"/>
        </w:rPr>
        <w:t xml:space="preserve"> countries had formally or informally expressed interest in hosting sites, and pilot projects in Bangladesh had provided invaluable experience. The European Union sought to improve the governance of efforts to set up additional monitoring stations, particularly in terms of the management of the resources in the General Trust Fund, given that the Multilateral Fund already had its own governance procedures in place. The proposed draft decision drew attention to previous relevant decisions, highlighted the progress achieved to date and noted that there was no obligation for parties in the identified regions to submit requests to fund pilot projects and atmospheric monitoring. It also noted the progress made by the Multilateral Fund, recognized the role of the Advisory Committee, also recognized the need to coordinate at the national level with institutions involved in atmospheric monitoring, and further recognized the expertise of the World Meteorological Organization. </w:t>
      </w:r>
      <w:r w:rsidR="001D1245" w:rsidRPr="00621720">
        <w:rPr>
          <w:lang w:val="en-US"/>
        </w:rPr>
        <w:t>T</w:t>
      </w:r>
      <w:r w:rsidRPr="00621720">
        <w:rPr>
          <w:lang w:val="en-US"/>
        </w:rPr>
        <w:t>he draft decision</w:t>
      </w:r>
      <w:r w:rsidR="001D1245" w:rsidRPr="00621720">
        <w:rPr>
          <w:lang w:val="en-US"/>
        </w:rPr>
        <w:t xml:space="preserve"> included an invitation to</w:t>
      </w:r>
      <w:r w:rsidRPr="00621720">
        <w:rPr>
          <w:lang w:val="en-US"/>
        </w:rPr>
        <w:t xml:space="preserve"> parties to the Vienna Convention to request the Advisory Committee to provide scientific guidance on preparing and implementing projects to enhance regional atmospheric monitoring and to accept guidance from </w:t>
      </w:r>
      <w:r w:rsidR="008C47A8" w:rsidRPr="00621720">
        <w:rPr>
          <w:lang w:val="en-US"/>
        </w:rPr>
        <w:t xml:space="preserve">a </w:t>
      </w:r>
      <w:r w:rsidRPr="00621720">
        <w:rPr>
          <w:lang w:val="en-US"/>
        </w:rPr>
        <w:t xml:space="preserve">Meeting of the Parties. The Ozone Secretariat was requested to ensure that atmospheric monitoring projects funded by the General Trust Fund followed the scientific advice of the Advisory Committee; to develop agreements with the parties selected that were consistent with the prioritization and phased approach recommended; and to prepare guidelines for the preparation of the implementation of projects on atmospheric monitoring financed by the General Trust Fund, ensuring their alignment with the guidelines that had already been adopted by the Executive Committee. The draft decision also </w:t>
      </w:r>
      <w:r w:rsidR="001D1245" w:rsidRPr="00621720">
        <w:rPr>
          <w:lang w:val="en-US"/>
        </w:rPr>
        <w:t xml:space="preserve">included a request to </w:t>
      </w:r>
      <w:r w:rsidRPr="00621720">
        <w:rPr>
          <w:lang w:val="en-US"/>
        </w:rPr>
        <w:t xml:space="preserve">the Ozone Secretariat and any party or implementing agency concerned to ensure that monitoring activities financed under the General Trust Fund followed the principles of open availability and accessibility of data, and to report back annually to the parties on the progress achieved. </w:t>
      </w:r>
    </w:p>
    <w:p w14:paraId="2DF3E82A" w14:textId="77777777" w:rsidR="005B1563" w:rsidRPr="00621720" w:rsidRDefault="005B1563" w:rsidP="005B1563">
      <w:pPr>
        <w:pStyle w:val="Normalnumber"/>
        <w:tabs>
          <w:tab w:val="left" w:pos="624"/>
        </w:tabs>
        <w:rPr>
          <w:lang w:val="en-US"/>
        </w:rPr>
      </w:pPr>
      <w:r w:rsidRPr="00621720">
        <w:rPr>
          <w:lang w:val="en-US"/>
        </w:rPr>
        <w:t xml:space="preserve">In the ensuing discussion, many representatives thanked the Secretariat and the Advisory Committee for their work and for the </w:t>
      </w:r>
      <w:proofErr w:type="gramStart"/>
      <w:r w:rsidRPr="00621720">
        <w:rPr>
          <w:lang w:val="en-US"/>
        </w:rPr>
        <w:t>update, and</w:t>
      </w:r>
      <w:proofErr w:type="gramEnd"/>
      <w:r w:rsidRPr="00621720">
        <w:rPr>
          <w:lang w:val="en-US"/>
        </w:rPr>
        <w:t xml:space="preserve"> also thanked the European Union for its proposed draft decision and its financial support.</w:t>
      </w:r>
    </w:p>
    <w:p w14:paraId="011E6469" w14:textId="77777777" w:rsidR="005B1563" w:rsidRPr="00621720" w:rsidRDefault="005B1563" w:rsidP="005B1563">
      <w:pPr>
        <w:pStyle w:val="Normalnumber"/>
        <w:tabs>
          <w:tab w:val="left" w:pos="624"/>
        </w:tabs>
        <w:rPr>
          <w:lang w:val="en-US"/>
        </w:rPr>
      </w:pPr>
      <w:r w:rsidRPr="00621720">
        <w:rPr>
          <w:lang w:val="en-US"/>
        </w:rPr>
        <w:t xml:space="preserve">Some representatives said that they welcomed </w:t>
      </w:r>
      <w:proofErr w:type="gramStart"/>
      <w:r w:rsidRPr="00621720">
        <w:rPr>
          <w:lang w:val="en-US"/>
        </w:rPr>
        <w:t>particular aspects</w:t>
      </w:r>
      <w:proofErr w:type="gramEnd"/>
      <w:r w:rsidRPr="00621720">
        <w:rPr>
          <w:lang w:val="en-US"/>
        </w:rPr>
        <w:t xml:space="preserve"> of the draft decision, such as the establishment of clear and appropriate governance arrangements and recognition of the fact that participation in regional monitoring networks and the hosting of observation stations was strictly voluntary. Some representatives said that the respective roles of the relevant bodies could be clarified </w:t>
      </w:r>
      <w:r w:rsidRPr="00621720">
        <w:rPr>
          <w:lang w:val="en-US"/>
        </w:rPr>
        <w:lastRenderedPageBreak/>
        <w:t>even further to facilitate the implementation process. One representative cautioned against impeding the work of the Executive Committee given the progress that it had made to date. Other representatives said that they would seek further clarifications in a contact group.</w:t>
      </w:r>
    </w:p>
    <w:p w14:paraId="05FEB8C2" w14:textId="3316DF4D" w:rsidR="005B1563" w:rsidRPr="00621720" w:rsidRDefault="005B1563" w:rsidP="005B1563">
      <w:pPr>
        <w:pStyle w:val="Normalnumber"/>
        <w:tabs>
          <w:tab w:val="left" w:pos="624"/>
        </w:tabs>
        <w:rPr>
          <w:lang w:val="en-US"/>
        </w:rPr>
      </w:pPr>
      <w:r w:rsidRPr="00621720">
        <w:rPr>
          <w:lang w:val="en-US"/>
        </w:rPr>
        <w:t xml:space="preserve">In addition to the parties that had expressed or reiterated their interest in hosting a monitoring station during the question-and-answer session, the representative </w:t>
      </w:r>
      <w:r w:rsidR="00F15A15" w:rsidRPr="00621720">
        <w:rPr>
          <w:lang w:val="en-US"/>
        </w:rPr>
        <w:t xml:space="preserve">of </w:t>
      </w:r>
      <w:r w:rsidRPr="00621720">
        <w:rPr>
          <w:lang w:val="en-US"/>
        </w:rPr>
        <w:t xml:space="preserve">South Africa recalled that </w:t>
      </w:r>
      <w:r w:rsidR="00D96D1B" w:rsidRPr="00621720">
        <w:rPr>
          <w:lang w:val="en-US"/>
        </w:rPr>
        <w:t>his</w:t>
      </w:r>
      <w:r w:rsidRPr="00621720">
        <w:rPr>
          <w:lang w:val="en-US"/>
        </w:rPr>
        <w:t xml:space="preserve"> countr</w:t>
      </w:r>
      <w:r w:rsidR="00A9194A" w:rsidRPr="00621720">
        <w:rPr>
          <w:lang w:val="en-US"/>
        </w:rPr>
        <w:t>y</w:t>
      </w:r>
      <w:r w:rsidRPr="00621720">
        <w:rPr>
          <w:lang w:val="en-US"/>
        </w:rPr>
        <w:t xml:space="preserve"> had formally expressed</w:t>
      </w:r>
      <w:r w:rsidR="00E0768C" w:rsidRPr="00621720">
        <w:rPr>
          <w:lang w:val="en-US"/>
        </w:rPr>
        <w:t xml:space="preserve"> </w:t>
      </w:r>
      <w:r w:rsidRPr="00621720">
        <w:rPr>
          <w:lang w:val="en-US"/>
        </w:rPr>
        <w:t xml:space="preserve">interest in doing so. </w:t>
      </w:r>
      <w:proofErr w:type="gramStart"/>
      <w:r w:rsidRPr="00621720">
        <w:rPr>
          <w:lang w:val="en-US"/>
        </w:rPr>
        <w:t>A number of</w:t>
      </w:r>
      <w:proofErr w:type="gramEnd"/>
      <w:r w:rsidRPr="00621720">
        <w:rPr>
          <w:lang w:val="en-US"/>
        </w:rPr>
        <w:t xml:space="preserve"> representatives said that they were encouraged to see the high level of interest from parties. One representative welcomed the development of the online costing tool.</w:t>
      </w:r>
    </w:p>
    <w:p w14:paraId="1802AF31" w14:textId="77777777" w:rsidR="005B1563" w:rsidRPr="00621720" w:rsidRDefault="005B1563" w:rsidP="005B1563">
      <w:pPr>
        <w:pStyle w:val="Normalnumber"/>
        <w:tabs>
          <w:tab w:val="left" w:pos="624"/>
        </w:tabs>
        <w:rPr>
          <w:lang w:val="en-US"/>
        </w:rPr>
      </w:pPr>
      <w:r w:rsidRPr="00621720">
        <w:rPr>
          <w:lang w:val="en-US"/>
        </w:rPr>
        <w:t>Some representatives stressed that projects receiving external funding had to remain under the control of the Montreal Protocol, adhere to the rules and guidelines agreed under the framework of the Multilateral Fund, and must not introduce new or parallel conditions.</w:t>
      </w:r>
    </w:p>
    <w:p w14:paraId="3A079912" w14:textId="6DD9E240" w:rsidR="005B1563" w:rsidRPr="00621720" w:rsidRDefault="005B1563" w:rsidP="005B1563">
      <w:pPr>
        <w:pStyle w:val="Normalnumber"/>
        <w:tabs>
          <w:tab w:val="left" w:pos="624"/>
        </w:tabs>
        <w:rPr>
          <w:lang w:val="en-US"/>
        </w:rPr>
      </w:pPr>
      <w:r w:rsidRPr="00621720">
        <w:rPr>
          <w:lang w:val="en-US"/>
        </w:rPr>
        <w:t xml:space="preserve">Several representatives said that further work should </w:t>
      </w:r>
      <w:r w:rsidR="009D1922" w:rsidRPr="00621720">
        <w:rPr>
          <w:lang w:val="en-US"/>
        </w:rPr>
        <w:t>give</w:t>
      </w:r>
      <w:r w:rsidRPr="00621720">
        <w:rPr>
          <w:lang w:val="en-US"/>
        </w:rPr>
        <w:t xml:space="preserve"> greater attention to data governance and national sovereignty. One</w:t>
      </w:r>
      <w:r w:rsidR="009D1922" w:rsidRPr="00621720">
        <w:rPr>
          <w:lang w:val="en-US"/>
        </w:rPr>
        <w:t xml:space="preserve"> representative</w:t>
      </w:r>
      <w:r w:rsidRPr="00621720">
        <w:rPr>
          <w:lang w:val="en-US"/>
        </w:rPr>
        <w:t xml:space="preserve"> proposed the development of guidance on data</w:t>
      </w:r>
      <w:r w:rsidR="00672BBC" w:rsidRPr="00621720">
        <w:rPr>
          <w:lang w:val="en-US"/>
        </w:rPr>
        <w:t>-</w:t>
      </w:r>
      <w:r w:rsidRPr="00621720">
        <w:rPr>
          <w:lang w:val="en-US"/>
        </w:rPr>
        <w:t xml:space="preserve">sharing </w:t>
      </w:r>
      <w:r w:rsidR="009D1922" w:rsidRPr="00621720">
        <w:rPr>
          <w:lang w:val="en-US"/>
        </w:rPr>
        <w:t>for</w:t>
      </w:r>
      <w:r w:rsidRPr="00621720">
        <w:rPr>
          <w:lang w:val="en-US"/>
        </w:rPr>
        <w:t xml:space="preserve"> approval by the parties.</w:t>
      </w:r>
    </w:p>
    <w:p w14:paraId="50881474" w14:textId="77E20AA2" w:rsidR="005B1563" w:rsidRPr="00621720" w:rsidRDefault="005B1563" w:rsidP="005B1563">
      <w:pPr>
        <w:pStyle w:val="Normalnumber"/>
        <w:tabs>
          <w:tab w:val="left" w:pos="624"/>
        </w:tabs>
        <w:rPr>
          <w:lang w:val="en-US"/>
        </w:rPr>
      </w:pPr>
      <w:r w:rsidRPr="00621720">
        <w:rPr>
          <w:lang w:val="en-US"/>
        </w:rPr>
        <w:t>Several representatives emphasized the importance of national ownership and of strengthening national capacities to conduct atmospheric monitoring, including through the provision of support for staff training, maintenance, calibration and quality assurance, and adequate, predictable and sustainable financial support. One representative encouraged the Executive Committee to operationalize the funding window approved under the Multilateral Fund. Another representative sought the involvement of potential host countries in the development of project guidelines. One representative asked for more technical information on the requirements for monitoring station</w:t>
      </w:r>
      <w:r w:rsidR="003724E8" w:rsidRPr="00621720">
        <w:rPr>
          <w:lang w:val="en-US"/>
        </w:rPr>
        <w:t>s</w:t>
      </w:r>
      <w:r w:rsidRPr="00621720">
        <w:rPr>
          <w:lang w:val="en-US"/>
        </w:rPr>
        <w:t>, such as the type of equipment, the calibration and the technical profiles of technicians and scientists.</w:t>
      </w:r>
    </w:p>
    <w:p w14:paraId="0F857E42" w14:textId="77777777" w:rsidR="005B1563" w:rsidRPr="00621720" w:rsidRDefault="005B1563" w:rsidP="005B1563">
      <w:pPr>
        <w:pStyle w:val="Normalnumber"/>
        <w:tabs>
          <w:tab w:val="left" w:pos="624"/>
        </w:tabs>
        <w:rPr>
          <w:lang w:val="en-US"/>
        </w:rPr>
      </w:pPr>
      <w:r w:rsidRPr="00621720">
        <w:rPr>
          <w:lang w:val="en-US"/>
        </w:rPr>
        <w:t xml:space="preserve">Some representatives emphasized the importance of engagement with the wider scientific community, which, they said, could provide additional independent expertise and the opportunity for peer review to support the effectiveness of project development. </w:t>
      </w:r>
    </w:p>
    <w:p w14:paraId="0F4974D5" w14:textId="77777777" w:rsidR="005B1563" w:rsidRPr="00621720" w:rsidRDefault="005B1563" w:rsidP="005B1563">
      <w:pPr>
        <w:pStyle w:val="Normalnumber"/>
        <w:tabs>
          <w:tab w:val="left" w:pos="624"/>
        </w:tabs>
        <w:rPr>
          <w:lang w:val="en-US"/>
        </w:rPr>
      </w:pPr>
      <w:r w:rsidRPr="00621720">
        <w:rPr>
          <w:lang w:val="en-US"/>
        </w:rPr>
        <w:t>One representative said that atmospheric observation could not be viewed in isolation and required rigorous, ground-level validation before conclusions could be drawn.</w:t>
      </w:r>
    </w:p>
    <w:p w14:paraId="1013D477" w14:textId="7619C5C3" w:rsidR="005B1563" w:rsidRPr="00621720" w:rsidRDefault="005B1563" w:rsidP="005B1563">
      <w:pPr>
        <w:pStyle w:val="Normalnumber"/>
        <w:tabs>
          <w:tab w:val="left" w:pos="624"/>
        </w:tabs>
        <w:rPr>
          <w:lang w:val="en-US"/>
        </w:rPr>
      </w:pPr>
      <w:r w:rsidRPr="00621720">
        <w:rPr>
          <w:lang w:val="en-US"/>
        </w:rPr>
        <w:t>Another representative noted that the draft decision contained several lengthy preambular paragraphs and encouraged parties to consider streamlining the preamb</w:t>
      </w:r>
      <w:r w:rsidR="00786D4C" w:rsidRPr="00621720">
        <w:rPr>
          <w:lang w:val="en-US"/>
        </w:rPr>
        <w:t>ular paragraphs</w:t>
      </w:r>
      <w:r w:rsidRPr="00621720">
        <w:rPr>
          <w:lang w:val="en-US"/>
        </w:rPr>
        <w:t xml:space="preserve"> of their texts to expedite the consideration of draft decisions by the parties. </w:t>
      </w:r>
    </w:p>
    <w:p w14:paraId="63CA9ED6" w14:textId="77777777" w:rsidR="005B1563" w:rsidRPr="00621720" w:rsidRDefault="005B1563" w:rsidP="005B1563">
      <w:pPr>
        <w:pStyle w:val="Normalnumber"/>
        <w:tabs>
          <w:tab w:val="left" w:pos="624"/>
        </w:tabs>
      </w:pPr>
      <w:r w:rsidRPr="00621720">
        <w:rPr>
          <w:lang w:val="en-US"/>
        </w:rPr>
        <w:t>The parties agreed to establish a contact group, co-chaired by Alain Wilmart (Belgium) and George Chaumba (Zimbabwe), to further discuss the</w:t>
      </w:r>
      <w:r w:rsidRPr="00621720">
        <w:t xml:space="preserve"> draft decision.</w:t>
      </w:r>
    </w:p>
    <w:p w14:paraId="2E9296E8" w14:textId="5F04FB09" w:rsidR="00CB5DB5" w:rsidRPr="00621720" w:rsidRDefault="004B47EF" w:rsidP="005B1563">
      <w:pPr>
        <w:pStyle w:val="Normalnumber"/>
        <w:tabs>
          <w:tab w:val="clear" w:pos="1247"/>
          <w:tab w:val="clear" w:pos="1814"/>
          <w:tab w:val="clear" w:pos="2381"/>
          <w:tab w:val="clear" w:pos="2948"/>
          <w:tab w:val="clear" w:pos="3515"/>
          <w:tab w:val="left" w:pos="624"/>
        </w:tabs>
      </w:pPr>
      <w:r w:rsidRPr="00621720">
        <w:t>[to be completed]</w:t>
      </w:r>
    </w:p>
    <w:p w14:paraId="20287204" w14:textId="495B1F9C" w:rsidR="009426AA" w:rsidRPr="00621720" w:rsidRDefault="00CB5DB5" w:rsidP="00CB5DB5">
      <w:pPr>
        <w:pStyle w:val="CH1"/>
      </w:pPr>
      <w:r w:rsidRPr="00621720">
        <w:tab/>
        <w:t>IX.</w:t>
      </w:r>
      <w:r w:rsidRPr="00621720">
        <w:tab/>
      </w:r>
      <w:r w:rsidR="009426AA" w:rsidRPr="00621720">
        <w:t>Technology and Economic Assessment Panel organizational issues</w:t>
      </w:r>
    </w:p>
    <w:p w14:paraId="4AAAB907" w14:textId="2CDD4828" w:rsidR="009426AA" w:rsidRPr="00621720" w:rsidRDefault="00CB5DB5" w:rsidP="00CB5DB5">
      <w:pPr>
        <w:pStyle w:val="CH2"/>
      </w:pPr>
      <w:r w:rsidRPr="00621720">
        <w:tab/>
        <w:t>A.</w:t>
      </w:r>
      <w:r w:rsidRPr="00621720">
        <w:tab/>
      </w:r>
      <w:r w:rsidR="009426AA" w:rsidRPr="00621720">
        <w:t>Options for the organization of the Technology and Economic Assessment Panel and its technical options committees (decision XXXV/20)</w:t>
      </w:r>
    </w:p>
    <w:p w14:paraId="6902EF84" w14:textId="3981DDD8" w:rsidR="00FA7B34" w:rsidRPr="00621720" w:rsidRDefault="00FA7B34" w:rsidP="00FF6EC8">
      <w:pPr>
        <w:pStyle w:val="Normalnumber"/>
        <w:tabs>
          <w:tab w:val="left" w:pos="624"/>
        </w:tabs>
        <w:rPr>
          <w:bCs/>
          <w:lang w:val="en-US"/>
        </w:rPr>
      </w:pPr>
      <w:r w:rsidRPr="00621720">
        <w:t>In considering the sub-item, parties had before them paragraphs 55–59 of the note by the Secretariat on issues for discussion by and information for the attention of the Thirty-Eighth Meeting of the Parties</w:t>
      </w:r>
      <w:r w:rsidR="00B26C5B" w:rsidRPr="00621720">
        <w:t xml:space="preserve"> to the Montreal Protocol</w:t>
      </w:r>
      <w:r w:rsidRPr="00621720">
        <w:t xml:space="preserve"> (UNEP/OzL.Pro.38/2); paragraphs 84–86 of the addendum to that document (UNEP/OzL.Pro.38/2/Add.1); paragraphs 126–129 of the report of the forty-eighth meeting of the Open-ended Working Group</w:t>
      </w:r>
      <w:r w:rsidR="00B26C5B" w:rsidRPr="00621720">
        <w:t xml:space="preserve"> </w:t>
      </w:r>
      <w:r w:rsidRPr="00621720">
        <w:t>(</w:t>
      </w:r>
      <w:bookmarkStart w:id="17" w:name="_Hlk244612018"/>
      <w:r w:rsidRPr="00621720">
        <w:rPr>
          <w:bCs/>
          <w:lang w:val="en-US"/>
        </w:rPr>
        <w:t>UNEP/Ozl.Pro.WG.1/48/5); chapter 8 of the progress report of the Technology and Economic Assessment Panel, May 2026, volume 1; and the terms of reference of the Technology and Economic Assessment Panel, its technical options committees and temporary subsidiary bodies, as set out in the annex to decision XXIV/8.</w:t>
      </w:r>
    </w:p>
    <w:p w14:paraId="3D8F7734" w14:textId="77777777" w:rsidR="00FA7B34" w:rsidRPr="00621720" w:rsidRDefault="00FA7B34" w:rsidP="00FF6EC8">
      <w:pPr>
        <w:pStyle w:val="Normalnumber"/>
        <w:tabs>
          <w:tab w:val="left" w:pos="624"/>
        </w:tabs>
      </w:pPr>
      <w:r w:rsidRPr="00621720">
        <w:rPr>
          <w:bCs/>
          <w:lang w:val="en-US"/>
        </w:rPr>
        <w:t xml:space="preserve">The Co-Chair recalled that, at the forty-eighth meeting of the Open-ended Working Group, an informal group of interested </w:t>
      </w:r>
      <w:r w:rsidRPr="00621720">
        <w:rPr>
          <w:lang w:val="en-US"/>
        </w:rPr>
        <w:t>parties</w:t>
      </w:r>
      <w:r w:rsidRPr="00621720">
        <w:rPr>
          <w:bCs/>
          <w:lang w:val="en-US"/>
        </w:rPr>
        <w:t xml:space="preserve"> had considered options for the organization of the </w:t>
      </w:r>
      <w:r w:rsidRPr="00621720">
        <w:t>Technology and Economic Assessment Panel and its technical options committees. The Working Group had noted that the Panel would provide responses at the current meeting to questions raised by parties in the informal group. The responses of the Panel had been made available on the meeting portal.</w:t>
      </w:r>
    </w:p>
    <w:p w14:paraId="08A2DB96" w14:textId="7EB9D92B" w:rsidR="00FA7B34" w:rsidRPr="00621720" w:rsidRDefault="00FA7B34" w:rsidP="00FF6EC8">
      <w:pPr>
        <w:pStyle w:val="Normalnumber"/>
        <w:tabs>
          <w:tab w:val="left" w:pos="624"/>
        </w:tabs>
      </w:pPr>
      <w:r w:rsidRPr="00621720">
        <w:rPr>
          <w:bCs/>
          <w:lang w:val="en-US"/>
        </w:rPr>
        <w:t xml:space="preserve">The representative of </w:t>
      </w:r>
      <w:r w:rsidRPr="00621720">
        <w:rPr>
          <w:lang w:val="en-US"/>
        </w:rPr>
        <w:t>Australia</w:t>
      </w:r>
      <w:r w:rsidRPr="00621720">
        <w:rPr>
          <w:bCs/>
          <w:lang w:val="en-US"/>
        </w:rPr>
        <w:t xml:space="preserve"> introduced a proposal for a draft decision submitted by Australia and the United States, set out in a conference room paper, which contained proposals for the </w:t>
      </w:r>
      <w:r w:rsidRPr="00621720">
        <w:t xml:space="preserve">organization of the Technology and Economic Assessment Panel and its technical options committees. The proposals, he said, would better align the structure of the Panel and meeting arrangements and </w:t>
      </w:r>
      <w:r w:rsidRPr="00621720">
        <w:lastRenderedPageBreak/>
        <w:t xml:space="preserve">would streamline workloads, enabling the Panel and its technical options committees to operate in a more cost-effective manner. </w:t>
      </w:r>
    </w:p>
    <w:p w14:paraId="1A64CE8D" w14:textId="702567E9" w:rsidR="00FA7B34" w:rsidRPr="00621720" w:rsidRDefault="00FA7B34" w:rsidP="00FF6EC8">
      <w:pPr>
        <w:pStyle w:val="Normalnumber"/>
        <w:tabs>
          <w:tab w:val="left" w:pos="624"/>
        </w:tabs>
        <w:rPr>
          <w:bCs/>
        </w:rPr>
      </w:pPr>
      <w:r w:rsidRPr="00621720">
        <w:t xml:space="preserve">In the ensuing discussion, several representatives expressed appreciation for the work undertaken by the Technology and Economic </w:t>
      </w:r>
      <w:r w:rsidRPr="00621720">
        <w:rPr>
          <w:lang w:val="en-US"/>
        </w:rPr>
        <w:t>Assessment</w:t>
      </w:r>
      <w:r w:rsidRPr="00621720">
        <w:t xml:space="preserve"> Panel and its technical options committees. One representative, speaking on behalf of a group of countries, recognized </w:t>
      </w:r>
      <w:r w:rsidRPr="00621720">
        <w:rPr>
          <w:bCs/>
        </w:rPr>
        <w:t xml:space="preserve">that the workload of the Panel and its subsidiary bodies had increased in recent years with the concurrence of HCFC phase-out, HFC phase-down and other emerging issues. </w:t>
      </w:r>
      <w:proofErr w:type="gramStart"/>
      <w:r w:rsidRPr="00621720">
        <w:rPr>
          <w:bCs/>
        </w:rPr>
        <w:t>As a consequence</w:t>
      </w:r>
      <w:proofErr w:type="gramEnd"/>
      <w:r w:rsidRPr="00621720">
        <w:rPr>
          <w:bCs/>
        </w:rPr>
        <w:t>, a wide range of expertise was needed. Another representative emphasized the value in reducing unnecessary workload, which, she said, would also help to reduce attrition as well as enabling the Panel and its subsidiary bodies to operate more cost-effectively.</w:t>
      </w:r>
    </w:p>
    <w:p w14:paraId="5364A3DA" w14:textId="44265840" w:rsidR="00FA7B34" w:rsidRPr="00621720" w:rsidRDefault="00FA7B34" w:rsidP="00FF6EC8">
      <w:pPr>
        <w:pStyle w:val="Normalnumber"/>
        <w:tabs>
          <w:tab w:val="left" w:pos="624"/>
        </w:tabs>
      </w:pPr>
      <w:r w:rsidRPr="00621720">
        <w:rPr>
          <w:bCs/>
        </w:rPr>
        <w:t xml:space="preserve">One representative said that discussions on the reorganization of the Technology and Economic Assessment Panel and </w:t>
      </w:r>
      <w:r w:rsidRPr="00621720">
        <w:t>its technical options committees had been ongoing for several years, and she expressed the hope that parties at the current meeting could identify a pragmatic way forward that provided those bodies with greater clarity and ensured that the infrastructure remained responsive to parties’ evolving needs. Several of the proposals presented in the draft decision had merit, includ</w:t>
      </w:r>
      <w:r w:rsidR="00984EB1" w:rsidRPr="00621720">
        <w:t>ing</w:t>
      </w:r>
      <w:r w:rsidRPr="00621720">
        <w:t xml:space="preserve"> the proposal to </w:t>
      </w:r>
      <w:r w:rsidRPr="00621720">
        <w:rPr>
          <w:rStyle w:val="Strong"/>
          <w:b w:val="0"/>
          <w:bCs w:val="0"/>
          <w:lang w:val="en-US"/>
        </w:rPr>
        <w:t>structure the Medical and Chemicals Technical Options Committee into two subcommittees. Looking beyond immediate organizational issues, she encouraged parties to consider the long-term resilience of the Panel, including succession planning and the importance of identifying suitable candidates for future roles.</w:t>
      </w:r>
    </w:p>
    <w:p w14:paraId="23484D8F" w14:textId="77777777" w:rsidR="00FA7B34" w:rsidRPr="00621720" w:rsidRDefault="00FA7B34" w:rsidP="00FF6EC8">
      <w:pPr>
        <w:pStyle w:val="Normalnumber"/>
        <w:tabs>
          <w:tab w:val="left" w:pos="624"/>
        </w:tabs>
        <w:rPr>
          <w:lang w:val="en-US"/>
        </w:rPr>
      </w:pPr>
      <w:r w:rsidRPr="00621720">
        <w:rPr>
          <w:lang w:val="en-US"/>
        </w:rPr>
        <w:t xml:space="preserve">Another representative said that with the dual challenges of HCFC phase-out and HFC phase-down, the technical guidance, scientific integrity and objective expertise of the Panel and its technical options committees were more critical than ever. In the light of those challenges, three considerations should be </w:t>
      </w:r>
      <w:proofErr w:type="gramStart"/>
      <w:r w:rsidRPr="00621720">
        <w:rPr>
          <w:lang w:val="en-US"/>
        </w:rPr>
        <w:t>taken into account</w:t>
      </w:r>
      <w:proofErr w:type="gramEnd"/>
      <w:r w:rsidRPr="00621720">
        <w:rPr>
          <w:lang w:val="en-US"/>
        </w:rPr>
        <w:t>. First, the proposal to</w:t>
      </w:r>
      <w:r w:rsidRPr="00621720">
        <w:t xml:space="preserve"> limit</w:t>
      </w:r>
      <w:r w:rsidRPr="00621720">
        <w:rPr>
          <w:rStyle w:val="Strong"/>
          <w:b w:val="0"/>
          <w:bCs w:val="0"/>
          <w:lang w:val="en-US"/>
        </w:rPr>
        <w:t xml:space="preserve"> the number of senior experts on the Panel to no more than four</w:t>
      </w:r>
      <w:r w:rsidRPr="00621720">
        <w:t xml:space="preserve"> must not become a structural barrier to achieving fair geographical balance, gender parity and diverse technical representation on the Panel; second, if measures were to be adopted to </w:t>
      </w:r>
      <w:r w:rsidRPr="00621720">
        <w:rPr>
          <w:rStyle w:val="Strong"/>
          <w:b w:val="0"/>
          <w:bCs w:val="0"/>
          <w:lang w:val="en-US"/>
        </w:rPr>
        <w:t xml:space="preserve">limit the reporting requirements of the Methyl Bromide Technical Options Committee and the Rigid and Flexible Foams Technical Options Committee to the quadrennial assessment reports, care needed to be taken, in view of current technical transitions in the rigid and flexible foams sectors, to retain enough flexibility to prevent critical gaps that might jeopardize the safety, availability and cost-effectiveness of blowing agents, and to ensure that parties could request interim technical updates should market disruptions occur; and third, on the proposal to limit in-person meetings, it should be recognized that virtual formats could not fully substitute for the face-to-face scientific discussions </w:t>
      </w:r>
      <w:r w:rsidRPr="00621720">
        <w:t xml:space="preserve">required to build technical consensus on complex issues. </w:t>
      </w:r>
    </w:p>
    <w:bookmarkEnd w:id="17"/>
    <w:p w14:paraId="128D30AA" w14:textId="77777777" w:rsidR="00FA7B34" w:rsidRPr="00621720" w:rsidRDefault="00FA7B34" w:rsidP="00FF6EC8">
      <w:pPr>
        <w:pStyle w:val="Normalnumber"/>
        <w:tabs>
          <w:tab w:val="left" w:pos="624"/>
        </w:tabs>
        <w:rPr>
          <w:lang w:val="en-US"/>
        </w:rPr>
      </w:pPr>
      <w:r w:rsidRPr="00621720">
        <w:rPr>
          <w:lang w:val="en-US"/>
        </w:rPr>
        <w:t>The parties agreed to establish a contact group, co-chaired by Heidi Stockhaus (Germany) and Camilla Noel (Vanuatu), to further discuss the draft decision.</w:t>
      </w:r>
    </w:p>
    <w:p w14:paraId="5E589C3D" w14:textId="70B577BA" w:rsidR="00CB5DB5" w:rsidRPr="00621720" w:rsidRDefault="004B47EF" w:rsidP="00FF6EC8">
      <w:pPr>
        <w:pStyle w:val="Normalnumber"/>
        <w:tabs>
          <w:tab w:val="left" w:pos="624"/>
        </w:tabs>
      </w:pPr>
      <w:r w:rsidRPr="00621720">
        <w:rPr>
          <w:lang w:val="en-US"/>
        </w:rPr>
        <w:t>[to be completed</w:t>
      </w:r>
      <w:r w:rsidRPr="00621720">
        <w:t>]</w:t>
      </w:r>
    </w:p>
    <w:p w14:paraId="12891684" w14:textId="5BA00B2B" w:rsidR="009426AA" w:rsidRPr="00621720" w:rsidRDefault="00CB5DB5" w:rsidP="00CB5DB5">
      <w:pPr>
        <w:pStyle w:val="CH2"/>
      </w:pPr>
      <w:r w:rsidRPr="00621720">
        <w:tab/>
        <w:t>B.</w:t>
      </w:r>
      <w:r w:rsidRPr="00621720">
        <w:tab/>
      </w:r>
      <w:r w:rsidR="009426AA" w:rsidRPr="00621720">
        <w:t>Changes in the membership of the Technology and Economic Assessment Panel</w:t>
      </w:r>
    </w:p>
    <w:p w14:paraId="12AB96F1" w14:textId="7B0D101E" w:rsidR="00FA7B34" w:rsidRPr="00621720" w:rsidRDefault="00FA7B34" w:rsidP="00FF6EC8">
      <w:pPr>
        <w:pStyle w:val="Normalnumber"/>
        <w:tabs>
          <w:tab w:val="left" w:pos="624"/>
        </w:tabs>
        <w:rPr>
          <w:bCs/>
          <w:lang w:val="en-US"/>
        </w:rPr>
      </w:pPr>
      <w:r w:rsidRPr="00621720">
        <w:t xml:space="preserve">In considering the sub-item, parties had before them paragraphs 66 and 67 of the note by the Secretariat on </w:t>
      </w:r>
      <w:r w:rsidRPr="00621720">
        <w:rPr>
          <w:lang w:val="en-US"/>
        </w:rPr>
        <w:t>issues</w:t>
      </w:r>
      <w:r w:rsidRPr="00621720">
        <w:t xml:space="preserve"> for discussion by and </w:t>
      </w:r>
      <w:r w:rsidRPr="00621720">
        <w:rPr>
          <w:lang w:val="en-US"/>
        </w:rPr>
        <w:t>information</w:t>
      </w:r>
      <w:r w:rsidRPr="00621720">
        <w:t xml:space="preserve"> for the attention of the Thirty-Eighth Meeting of the Parties to the Montreal Protocol (UNEP/OzL.Pro.38/2); paragraphs 87 and 88 of the addendum thereto (UNEP/OzL.Pro.38/2/Add.1); annex II to </w:t>
      </w:r>
      <w:r w:rsidRPr="00621720">
        <w:rPr>
          <w:bCs/>
          <w:lang w:val="en-US"/>
        </w:rPr>
        <w:t xml:space="preserve">the progress report of the Technology and Economic Assessment Panel, May 2026, volume 1; the terms of reference of the Technology and Economic Assessment Panel, its technical options committees and temporary subsidiary bodies, as set out in the annex to decision XXIV/8; and the Technology and Economic Assessment primer and the matrix of needed expertise. </w:t>
      </w:r>
    </w:p>
    <w:p w14:paraId="7E0F7123" w14:textId="0E145C5B" w:rsidR="00FA7B34" w:rsidRPr="00621720" w:rsidRDefault="00FA7B34" w:rsidP="00FF6EC8">
      <w:pPr>
        <w:pStyle w:val="Normalnumber"/>
        <w:tabs>
          <w:tab w:val="left" w:pos="624"/>
        </w:tabs>
      </w:pPr>
      <w:r w:rsidRPr="00621720">
        <w:rPr>
          <w:bCs/>
          <w:lang w:val="en-US"/>
        </w:rPr>
        <w:t xml:space="preserve">The Co-Chair recalled that, at the forty-eighth meeting of the Open-ended Working Group, </w:t>
      </w:r>
      <w:r w:rsidRPr="00621720">
        <w:rPr>
          <w:lang w:val="en-US"/>
        </w:rPr>
        <w:t xml:space="preserve">the attention of the parties had been drawn to the list of the co-chairs and members of the </w:t>
      </w:r>
      <w:r w:rsidRPr="00621720">
        <w:rPr>
          <w:bCs/>
          <w:lang w:val="en-US"/>
        </w:rPr>
        <w:t xml:space="preserve">Technology and Economic </w:t>
      </w:r>
      <w:r w:rsidRPr="00621720">
        <w:rPr>
          <w:lang w:val="en-US"/>
        </w:rPr>
        <w:t>Assessment</w:t>
      </w:r>
      <w:r w:rsidRPr="00621720">
        <w:rPr>
          <w:bCs/>
          <w:lang w:val="en-US"/>
        </w:rPr>
        <w:t xml:space="preserve"> Panel and technical options committees </w:t>
      </w:r>
      <w:r w:rsidRPr="00621720">
        <w:rPr>
          <w:lang w:val="en-US"/>
        </w:rPr>
        <w:t xml:space="preserve">whose membership </w:t>
      </w:r>
      <w:r w:rsidR="005174D4" w:rsidRPr="00621720">
        <w:rPr>
          <w:lang w:val="en-US"/>
        </w:rPr>
        <w:t xml:space="preserve">was set to </w:t>
      </w:r>
      <w:r w:rsidRPr="00621720">
        <w:rPr>
          <w:lang w:val="en-US"/>
        </w:rPr>
        <w:t xml:space="preserve">expire at the end of 2026, as indicated in the Panel’s 2026 progress report. To date, the Secretariat had received six nominations: </w:t>
      </w:r>
      <w:r w:rsidRPr="00621720">
        <w:t xml:space="preserve">Ashley Woodcock to serve as co-chair of the </w:t>
      </w:r>
      <w:r w:rsidRPr="00621720">
        <w:rPr>
          <w:bCs/>
          <w:lang w:val="en-US"/>
        </w:rPr>
        <w:t>Technology and Economic Assessment Panel</w:t>
      </w:r>
      <w:r w:rsidRPr="00621720">
        <w:t xml:space="preserve"> for a term of four years; Asbjørn Leth Vonsild to serve as</w:t>
      </w:r>
      <w:r w:rsidRPr="00621720">
        <w:rPr>
          <w:rFonts w:ascii="Helvetica Neue" w:hAnsi="Helvetica Neue"/>
        </w:rPr>
        <w:t xml:space="preserve"> </w:t>
      </w:r>
      <w:r w:rsidRPr="00621720">
        <w:t xml:space="preserve">co-chair of the Refrigeration, Air Conditioning and Heat Pumps Technical Options Committee for a term of four years; </w:t>
      </w:r>
      <w:r w:rsidRPr="00621720">
        <w:rPr>
          <w:lang w:val="en-US"/>
        </w:rPr>
        <w:t>Suely Carvalho to serve as senior expert</w:t>
      </w:r>
      <w:r w:rsidRPr="00621720">
        <w:t xml:space="preserve"> of the</w:t>
      </w:r>
      <w:r w:rsidRPr="00621720">
        <w:rPr>
          <w:bCs/>
          <w:lang w:val="en-US"/>
        </w:rPr>
        <w:t xml:space="preserve"> Technology and Economic Assessment Panel</w:t>
      </w:r>
      <w:r w:rsidRPr="00621720">
        <w:t xml:space="preserve"> </w:t>
      </w:r>
      <w:r w:rsidRPr="00621720">
        <w:rPr>
          <w:lang w:val="en-US"/>
        </w:rPr>
        <w:t xml:space="preserve">for a term of four years; </w:t>
      </w:r>
      <w:r w:rsidRPr="00621720">
        <w:t xml:space="preserve">Bassam </w:t>
      </w:r>
      <w:proofErr w:type="spellStart"/>
      <w:r w:rsidRPr="00621720">
        <w:t>Elassaad</w:t>
      </w:r>
      <w:proofErr w:type="spellEnd"/>
      <w:r w:rsidRPr="00621720">
        <w:t xml:space="preserve"> to serve as senior expert of the</w:t>
      </w:r>
      <w:r w:rsidRPr="00621720">
        <w:rPr>
          <w:bCs/>
          <w:lang w:val="en-US"/>
        </w:rPr>
        <w:t xml:space="preserve"> Technology and Economic Assessment Panel</w:t>
      </w:r>
      <w:r w:rsidRPr="00621720">
        <w:t xml:space="preserve"> for a term of four years; Marco Gonz</w:t>
      </w:r>
      <w:r w:rsidR="005D3700" w:rsidRPr="00621720">
        <w:t>á</w:t>
      </w:r>
      <w:r w:rsidRPr="00621720">
        <w:t xml:space="preserve">lez </w:t>
      </w:r>
      <w:r w:rsidR="005D3700" w:rsidRPr="00621720">
        <w:t xml:space="preserve">(Costa Rica) </w:t>
      </w:r>
      <w:r w:rsidRPr="00621720">
        <w:t>to serve as senior expert of the</w:t>
      </w:r>
      <w:r w:rsidRPr="00621720">
        <w:rPr>
          <w:bCs/>
          <w:lang w:val="en-US"/>
        </w:rPr>
        <w:t xml:space="preserve"> Technology and Economic Assessment Panel</w:t>
      </w:r>
      <w:r w:rsidRPr="00621720">
        <w:t xml:space="preserve"> for a term of four years; and Zhang </w:t>
      </w:r>
      <w:proofErr w:type="spellStart"/>
      <w:r w:rsidRPr="00621720">
        <w:t>Shiqiu</w:t>
      </w:r>
      <w:proofErr w:type="spellEnd"/>
      <w:r w:rsidRPr="00621720">
        <w:t xml:space="preserve"> </w:t>
      </w:r>
      <w:r w:rsidR="005D3700" w:rsidRPr="00621720">
        <w:t xml:space="preserve">(China) </w:t>
      </w:r>
      <w:r w:rsidRPr="00621720">
        <w:t>to serve as senior expert of the</w:t>
      </w:r>
      <w:r w:rsidRPr="00621720">
        <w:rPr>
          <w:bCs/>
          <w:lang w:val="en-US"/>
        </w:rPr>
        <w:t xml:space="preserve"> Technology and Economic Assessment Panel</w:t>
      </w:r>
      <w:r w:rsidRPr="00621720">
        <w:t xml:space="preserve"> for a term of four years.</w:t>
      </w:r>
    </w:p>
    <w:p w14:paraId="5790F119" w14:textId="576F4C3B" w:rsidR="00FA7B34" w:rsidRPr="00621720" w:rsidRDefault="00FA7B34" w:rsidP="00FF6EC8">
      <w:pPr>
        <w:pStyle w:val="Normalnumber"/>
        <w:tabs>
          <w:tab w:val="left" w:pos="624"/>
        </w:tabs>
      </w:pPr>
      <w:r w:rsidRPr="00621720">
        <w:lastRenderedPageBreak/>
        <w:t xml:space="preserve">The parties agreed to </w:t>
      </w:r>
      <w:r w:rsidRPr="00621720">
        <w:rPr>
          <w:lang w:val="en-US"/>
        </w:rPr>
        <w:t>establish</w:t>
      </w:r>
      <w:r w:rsidRPr="00621720">
        <w:t xml:space="preserve"> an informal group</w:t>
      </w:r>
      <w:r w:rsidR="007038C2" w:rsidRPr="00621720">
        <w:t xml:space="preserve"> to continue discussions on the issue</w:t>
      </w:r>
      <w:r w:rsidRPr="00621720">
        <w:t>.</w:t>
      </w:r>
    </w:p>
    <w:p w14:paraId="7C8A0123" w14:textId="1672149F" w:rsidR="00CB5DB5" w:rsidRPr="00621720" w:rsidRDefault="004B47EF" w:rsidP="00FF6EC8">
      <w:pPr>
        <w:pStyle w:val="Normalnumber"/>
        <w:tabs>
          <w:tab w:val="left" w:pos="624"/>
        </w:tabs>
      </w:pPr>
      <w:r w:rsidRPr="00621720">
        <w:t>[to be completed]</w:t>
      </w:r>
    </w:p>
    <w:p w14:paraId="303178AE" w14:textId="142FF2A3" w:rsidR="009426AA" w:rsidRPr="00621720" w:rsidRDefault="00CB5DB5" w:rsidP="00CB5DB5">
      <w:pPr>
        <w:pStyle w:val="CH1"/>
      </w:pPr>
      <w:r w:rsidRPr="00621720">
        <w:tab/>
        <w:t>X.</w:t>
      </w:r>
      <w:r w:rsidRPr="00621720">
        <w:tab/>
      </w:r>
      <w:r w:rsidR="009426AA" w:rsidRPr="00621720">
        <w:t>Compliance and data reporting issues: work and recommendations of the Implementation Committee</w:t>
      </w:r>
    </w:p>
    <w:p w14:paraId="6E41278E" w14:textId="52F74079" w:rsidR="00FA7B34" w:rsidRPr="00621720" w:rsidRDefault="00FA7B34" w:rsidP="00FF6EC8">
      <w:pPr>
        <w:pStyle w:val="Normalnumber"/>
        <w:tabs>
          <w:tab w:val="left" w:pos="624"/>
        </w:tabs>
      </w:pPr>
      <w:r w:rsidRPr="00621720">
        <w:t xml:space="preserve">In considering the item, the parties had before them paragraphs 68 and 69 of the </w:t>
      </w:r>
      <w:proofErr w:type="gramStart"/>
      <w:r w:rsidRPr="00621720">
        <w:t>note</w:t>
      </w:r>
      <w:proofErr w:type="gramEnd"/>
      <w:r w:rsidRPr="00621720">
        <w:t xml:space="preserve"> by the Secretariat on issues for discussion by and information for the attention of the Thirty-Eighth Meeting of the Parties</w:t>
      </w:r>
      <w:r w:rsidR="00B26C5B" w:rsidRPr="00621720">
        <w:t xml:space="preserve"> to the Montreal Protocol</w:t>
      </w:r>
      <w:r w:rsidRPr="00621720">
        <w:t xml:space="preserve"> (</w:t>
      </w:r>
      <w:r w:rsidRPr="00621720">
        <w:rPr>
          <w:lang w:val="en-US"/>
        </w:rPr>
        <w:t>UNEP</w:t>
      </w:r>
      <w:r w:rsidRPr="00621720">
        <w:t xml:space="preserve">/OzL.Pro.38/2). The draft decisions forwarded by the Implementation Committee for consideration and possible adoption by the </w:t>
      </w:r>
      <w:bookmarkStart w:id="18" w:name="_Hlk244619012"/>
      <w:r w:rsidRPr="00621720">
        <w:t xml:space="preserve">Thirty-Eighth Meeting of the Parties </w:t>
      </w:r>
      <w:bookmarkEnd w:id="18"/>
      <w:r w:rsidRPr="00621720">
        <w:t xml:space="preserve">were set out in a conference room paper. </w:t>
      </w:r>
    </w:p>
    <w:p w14:paraId="54975424" w14:textId="77777777" w:rsidR="00FA7B34" w:rsidRPr="00621720" w:rsidRDefault="00FA7B34" w:rsidP="00FA7B34">
      <w:pPr>
        <w:pStyle w:val="Normalnumber"/>
        <w:tabs>
          <w:tab w:val="left" w:pos="624"/>
        </w:tabs>
        <w:ind w:left="1247"/>
      </w:pPr>
      <w:r w:rsidRPr="00621720">
        <w:t xml:space="preserve">The President of the Implementation Committee, Linda Kosgei (Kenya), presented a summary of the work of the Implementation Committee at its </w:t>
      </w:r>
      <w:bookmarkStart w:id="19" w:name="_Hlk244618889"/>
      <w:r w:rsidRPr="00621720">
        <w:t xml:space="preserve">seventy-sixth </w:t>
      </w:r>
      <w:bookmarkEnd w:id="19"/>
      <w:r w:rsidRPr="00621720">
        <w:t xml:space="preserve">and </w:t>
      </w:r>
      <w:bookmarkStart w:id="20" w:name="_Hlk244618911"/>
      <w:r w:rsidRPr="00621720">
        <w:t xml:space="preserve">seventy-seventh </w:t>
      </w:r>
      <w:bookmarkEnd w:id="20"/>
      <w:r w:rsidRPr="00621720">
        <w:t>meetings, including an overview of the eight draft decisions approved by the Committee for consideration by the Thirty-Eighth Meeting of the Parties. The report of the seventy-sixth meeting was available on the Secretariat’s meeting portal, while the report of the seventy-seventh meeting would be made available in due course.</w:t>
      </w:r>
    </w:p>
    <w:p w14:paraId="4C83D5F3" w14:textId="77777777" w:rsidR="00FA7B34" w:rsidRPr="00621720" w:rsidRDefault="00FA7B34" w:rsidP="00FA7B34">
      <w:pPr>
        <w:pStyle w:val="Normalnumber"/>
        <w:tabs>
          <w:tab w:val="left" w:pos="624"/>
        </w:tabs>
        <w:ind w:left="1247"/>
      </w:pPr>
      <w:r w:rsidRPr="00621720">
        <w:t>The Committee had considered data reporting issues related to Articles 7 and 9 of the Montreal Protocol, including the reporting requirements for HFCs introduced by the Kigali Amendment, cases of non-compliance and possible non-compliance, requests for changes to baseline data for HFCs, and information on the establishment of licensing systems for HFCs. The Committee had also received reports from the Multilateral Fund secretariat on relevant decisions of the Executive Committee at its ninety-seventh and ninety-eighth meetings and on activities carried out by the implementing agencies to facilitate parties’ compliance.</w:t>
      </w:r>
    </w:p>
    <w:p w14:paraId="78B3A231" w14:textId="77777777" w:rsidR="00FA7B34" w:rsidRPr="00621720" w:rsidRDefault="00FA7B34" w:rsidP="00FA7B34">
      <w:pPr>
        <w:pStyle w:val="Normalnumber"/>
        <w:tabs>
          <w:tab w:val="left" w:pos="624"/>
        </w:tabs>
        <w:ind w:left="1247"/>
      </w:pPr>
      <w:r w:rsidRPr="00621720">
        <w:t xml:space="preserve">The Committee had reviewed the status of the four parties listed in decision XXXVII/8 on data and information provided by the parties in accordance with Article 7 of the Montreal Protocol as being in non-compliance with their obligations. </w:t>
      </w:r>
      <w:proofErr w:type="gramStart"/>
      <w:r w:rsidRPr="00621720">
        <w:t>All of</w:t>
      </w:r>
      <w:proofErr w:type="gramEnd"/>
      <w:r w:rsidRPr="00621720">
        <w:t xml:space="preserve"> those parties had subsequently reported their outstanding data as was requested in the decision. The Committee had also considered the status of one party in relation to its commitments under a plan of action contained in a previous decision. The party had now adhered to all the commitments contained in the decision, and thus no further action had been required.</w:t>
      </w:r>
    </w:p>
    <w:p w14:paraId="1E62269E" w14:textId="77777777" w:rsidR="00FA7B34" w:rsidRPr="00621720" w:rsidRDefault="00FA7B34" w:rsidP="00FA7B34">
      <w:pPr>
        <w:pStyle w:val="Normalnumber"/>
        <w:tabs>
          <w:tab w:val="left" w:pos="624"/>
        </w:tabs>
        <w:ind w:left="1247"/>
      </w:pPr>
      <w:r w:rsidRPr="00621720">
        <w:t>The Committee was forwarding eight draft decisions for consideration by the Thirty-Eighth Meeting of the Parties. The first related to data reporting under Article 7 of the Protocol. It noted with appreciation that, as of 30 October 2026, 188 of the 198 parties to the Montreal Protocol had reported data for 2025, that 136 parties had done so via the online reporting system and that 171 parties had reported their data by 30 September 2026, as required under paragraph 3 of Article 7 of the Protocol. The draft decision further noted with appreciation that 96 of those parties had reported their data for 2025 by 30 June 2026, as encouraged in decision XV/15. Such reporting greatly facilitated the work of the Implementation Committee and the Executive Committee of the Multilateral Fund in assisting Article 5 parties in complying with the control measures.</w:t>
      </w:r>
    </w:p>
    <w:p w14:paraId="367035C5" w14:textId="77777777" w:rsidR="00FA7B34" w:rsidRPr="00621720" w:rsidRDefault="00FA7B34" w:rsidP="00FA7B34">
      <w:pPr>
        <w:pStyle w:val="Normalnumber"/>
        <w:tabs>
          <w:tab w:val="left" w:pos="624"/>
        </w:tabs>
        <w:ind w:left="1247"/>
      </w:pPr>
      <w:r w:rsidRPr="00621720">
        <w:t xml:space="preserve">The draft decision also noted with concern that 10 parties, namely Algeria, Côte d’Ivoire, Croatia, the Democratic People’s Republic of Korea, Nepal, Nicaragua, the Republic of Moldova, Romania, San Marino and the State of Palestine, had not reported their 2025 data by 30 October 2026, thereby placing them in non-compliance with their data reporting obligations under the Montreal Protocol until such time as the Secretariat received their outstanding data. The draft decision urged those parties that had not yet done so to report their data as soon as possible and requested the Implementation Committee to review their situation at its seventy-eighth meeting. The draft decision also noted that a lack of timely data reporting by parties impeded the effective monitoring and assessment of parties’ compliance with their obligations under the Montreal Protocol. </w:t>
      </w:r>
    </w:p>
    <w:p w14:paraId="09CB8D27" w14:textId="77777777" w:rsidR="00FA7B34" w:rsidRPr="00621720" w:rsidRDefault="00FA7B34" w:rsidP="00FA7B34">
      <w:pPr>
        <w:pStyle w:val="Normalnumber"/>
        <w:tabs>
          <w:tab w:val="left" w:pos="624"/>
        </w:tabs>
        <w:ind w:left="1247"/>
      </w:pPr>
      <w:r w:rsidRPr="00621720">
        <w:t xml:space="preserve">The second, third, fourth and sixth draft decisions concerned non-compliance with consumption control measures for HFCs by Cabo Verde, Guinea and Tajikistan, and for HCFCs by Israel. Cabo Verde, Guinea and Israel had reported consumption data for 2024 above their allowable limits, while Tajikistan had reported consumption data for 2023 and 2024 above the applicable limits. However, the data reported by all those parties for 2025 had shown consumption levels below the allowable limits. The four draft decisions therefore indicated that no further action was necessary in view of those parties’ return to compliance with their control measures under the Montreal </w:t>
      </w:r>
      <w:proofErr w:type="gramStart"/>
      <w:r w:rsidRPr="00621720">
        <w:t>Protocol, and</w:t>
      </w:r>
      <w:proofErr w:type="gramEnd"/>
      <w:r w:rsidRPr="00621720">
        <w:t xml:space="preserve"> urged the parties to continue implementing their obligations under the Protocol. The decisions also took note of any explanations or plans of action that had been submitted by the relevant parties.</w:t>
      </w:r>
    </w:p>
    <w:p w14:paraId="60F2C8B0" w14:textId="0FF4FE95" w:rsidR="00FA7B34" w:rsidRPr="00621720" w:rsidRDefault="00FA7B34" w:rsidP="00FA7B34">
      <w:pPr>
        <w:pStyle w:val="Normalnumber"/>
        <w:tabs>
          <w:tab w:val="left" w:pos="624"/>
        </w:tabs>
        <w:ind w:left="1247"/>
      </w:pPr>
      <w:r w:rsidRPr="00621720">
        <w:lastRenderedPageBreak/>
        <w:t>The fifth draft decision concerned non-compliance with the Montreal Protocol by Saint Vincent and the Grenadines. The draft decision noted that the party had reported HFC consumption data for 2024 above its allowable limits. It noted with appreciation the submission by the party of an explanation for its non-compliance and a plan of action to ensure its return to compliance with the Protocol’s HFC consumption control measures in 2027. Under the plan of action, the party committed to reduc</w:t>
      </w:r>
      <w:r w:rsidR="00E56C4C" w:rsidRPr="00621720">
        <w:t>ing</w:t>
      </w:r>
      <w:r w:rsidRPr="00621720">
        <w:t xml:space="preserve"> its consumption of HFCs and to adopt</w:t>
      </w:r>
      <w:r w:rsidR="00E56C4C" w:rsidRPr="00621720">
        <w:t>ing</w:t>
      </w:r>
      <w:r w:rsidRPr="00621720">
        <w:t xml:space="preserve"> a number of policies in support of its implementation efforts, including strengthening </w:t>
      </w:r>
      <w:r w:rsidR="00E56C4C" w:rsidRPr="00621720">
        <w:t xml:space="preserve">its </w:t>
      </w:r>
      <w:r w:rsidRPr="00621720">
        <w:t xml:space="preserve">licensing and quota systems, implementing stage I of </w:t>
      </w:r>
      <w:r w:rsidR="00E56C4C" w:rsidRPr="00621720">
        <w:t>its</w:t>
      </w:r>
      <w:r w:rsidRPr="00621720">
        <w:t xml:space="preserve"> Kigali HFC implementation plan, and implementing a ban on high</w:t>
      </w:r>
      <w:r w:rsidR="00C944A3" w:rsidRPr="00621720">
        <w:t>-GWP</w:t>
      </w:r>
      <w:r w:rsidRPr="00621720">
        <w:t xml:space="preserve"> HFC-based equipment or reducing imports of such equipment, among other measures.</w:t>
      </w:r>
    </w:p>
    <w:p w14:paraId="5D09F8A1" w14:textId="77777777" w:rsidR="00FA7B34" w:rsidRPr="00621720" w:rsidRDefault="00FA7B34" w:rsidP="00FA7B34">
      <w:pPr>
        <w:pStyle w:val="Normalnumber"/>
        <w:tabs>
          <w:tab w:val="left" w:pos="624"/>
        </w:tabs>
        <w:ind w:left="1247"/>
      </w:pPr>
      <w:r w:rsidRPr="00621720">
        <w:t xml:space="preserve">The draft decision also urged Saint Vincent and the Grenadines to work with the relevant implementing agencies to implement its plan of action and to closely monitor the progress of the party </w:t>
      </w:r>
      <w:proofErr w:type="gramStart"/>
      <w:r w:rsidRPr="00621720">
        <w:t>with regard to</w:t>
      </w:r>
      <w:proofErr w:type="gramEnd"/>
      <w:r w:rsidRPr="00621720">
        <w:t xml:space="preserve"> the implementation of its plan of action and the phase-down of HFCs. Finally, the draft decision cautioned the party, that, in the event that it failed to return to compliance, the parties would consider measures consistent with item C of the of the indicative list of measures that could be taken by the Meeting of the Parties in respect of non</w:t>
      </w:r>
      <w:r w:rsidRPr="00621720">
        <w:noBreakHyphen/>
        <w:t>compliance.</w:t>
      </w:r>
    </w:p>
    <w:p w14:paraId="62941985" w14:textId="4824A093" w:rsidR="00FA7B34" w:rsidRPr="00621720" w:rsidRDefault="00FA7B34" w:rsidP="00FA7B34">
      <w:pPr>
        <w:pStyle w:val="Normalnumber"/>
        <w:tabs>
          <w:tab w:val="left" w:pos="624"/>
        </w:tabs>
        <w:ind w:left="1247"/>
      </w:pPr>
      <w:r w:rsidRPr="00621720">
        <w:t xml:space="preserve">The seventh draft decision related to the status of establishment of licensing systems for HFCs under Article 4B, paragraph 2 </w:t>
      </w:r>
      <w:r w:rsidRPr="00621720">
        <w:rPr>
          <w:i/>
          <w:iCs/>
        </w:rPr>
        <w:t>bis</w:t>
      </w:r>
      <w:r w:rsidRPr="00621720">
        <w:t xml:space="preserve">, of the Montreal Protocol. The draft decision noted with appreciation that 168 of the 176 parties that had ratified the Kigali Amendment had established such licensing systems, and </w:t>
      </w:r>
      <w:r w:rsidR="00FF1654" w:rsidRPr="00621720">
        <w:t xml:space="preserve">that </w:t>
      </w:r>
      <w:r w:rsidRPr="00621720">
        <w:t>two parties that had not yet ratified the Amendment had also reported establishing and implementing such systems.</w:t>
      </w:r>
    </w:p>
    <w:p w14:paraId="66A3E5C5" w14:textId="77777777" w:rsidR="00FA7B34" w:rsidRPr="00621720" w:rsidRDefault="00FA7B34" w:rsidP="00FA7B34">
      <w:pPr>
        <w:pStyle w:val="Normalnumber"/>
        <w:tabs>
          <w:tab w:val="left" w:pos="624"/>
        </w:tabs>
        <w:ind w:left="1247"/>
      </w:pPr>
      <w:r w:rsidRPr="00621720">
        <w:t>The draft decision noted, however, that Azerbaijan, the Central African Republic, Djibouti and San Marino had not reported to the Secretariat by 30 October 2026 on the establishment and operation of their licensing systems. The draft decision further noted with concern that, in the case of San Marino, information on the establishment and operation of its licensing system had been due by 18 July 2021. The draft decision urged the four parties to report on the establishment and operation of their licensing systems as a matter of urgency, and preferably no later than 31 March 2027, for consideration by the Committee at its seventy-eighth meeting.</w:t>
      </w:r>
    </w:p>
    <w:p w14:paraId="38B2AA55" w14:textId="77777777" w:rsidR="00FA7B34" w:rsidRPr="00621720" w:rsidRDefault="00FA7B34" w:rsidP="00FA7B34">
      <w:pPr>
        <w:pStyle w:val="Normalnumber"/>
        <w:tabs>
          <w:tab w:val="left" w:pos="624"/>
        </w:tabs>
        <w:ind w:left="1247"/>
      </w:pPr>
      <w:r w:rsidRPr="00621720">
        <w:t>The draft decision further cautioned San Marino, in accordance with item B of the indicative list of measures that might be taken by a Meeting of the Parties in respect of non-compliance with the Protocol that, in the event that it failed to report on the establishment and operation of its licensing system, the parties would consider measures consistent with item C of the indicative list of measures.</w:t>
      </w:r>
    </w:p>
    <w:p w14:paraId="393D4AB5" w14:textId="77777777" w:rsidR="00FA7B34" w:rsidRPr="00621720" w:rsidRDefault="00FA7B34" w:rsidP="00FA7B34">
      <w:pPr>
        <w:pStyle w:val="Normalnumber"/>
        <w:tabs>
          <w:tab w:val="left" w:pos="624"/>
        </w:tabs>
        <w:ind w:left="1247"/>
      </w:pPr>
      <w:r w:rsidRPr="00621720">
        <w:t>The final draft decision concerned the requests of two parties, Belize and South Africa, to revise their HFC baseline data. The draft decision confirmed that the two parties had presented sufficient information, in accordance with the methodology set out in decision XV/19, to justify their requests to revise their baseline data for HFCs. The draft decision therefore proposed to approve those parties’ requests to revise their data for the requested baseline years.</w:t>
      </w:r>
    </w:p>
    <w:p w14:paraId="7F67D4B2" w14:textId="77777777" w:rsidR="00FA7B34" w:rsidRPr="00621720" w:rsidRDefault="00FA7B34" w:rsidP="00FA7B34">
      <w:pPr>
        <w:pStyle w:val="Normalnumber"/>
        <w:tabs>
          <w:tab w:val="left" w:pos="624"/>
        </w:tabs>
        <w:ind w:left="1247"/>
      </w:pPr>
      <w:r w:rsidRPr="00621720">
        <w:t>In conclusion, she thanked the 10 members of the Committee for their constructive contributions and fruitful discussions and the Secretariat for its efforts in preparing and organizing the meetings.</w:t>
      </w:r>
    </w:p>
    <w:p w14:paraId="4D57B3CA" w14:textId="77777777" w:rsidR="00FA7B34" w:rsidRPr="00621720" w:rsidRDefault="00FA7B34" w:rsidP="00FA7B34">
      <w:pPr>
        <w:pStyle w:val="Normalnumber"/>
        <w:tabs>
          <w:tab w:val="left" w:pos="624"/>
        </w:tabs>
        <w:ind w:left="1247"/>
      </w:pPr>
      <w:r w:rsidRPr="00621720">
        <w:t xml:space="preserve">The Co-Chair thanked the President of the Committee for her comprehensive presentation and, on behalf of the parties. extended sincere gratitude to her and to the members of the Committee for their excellent work and dedication. </w:t>
      </w:r>
    </w:p>
    <w:p w14:paraId="38992147" w14:textId="1427B535" w:rsidR="00FA7B34" w:rsidRPr="00621720" w:rsidRDefault="00FA7B34" w:rsidP="00FA7B34">
      <w:pPr>
        <w:pStyle w:val="Normalnumber"/>
        <w:tabs>
          <w:tab w:val="left" w:pos="624"/>
        </w:tabs>
        <w:ind w:left="1247"/>
      </w:pPr>
      <w:r w:rsidRPr="00621720">
        <w:t xml:space="preserve">With respect to paragraph </w:t>
      </w:r>
      <w:r w:rsidR="00FF1654" w:rsidRPr="00621720">
        <w:t>3</w:t>
      </w:r>
      <w:r w:rsidRPr="00621720">
        <w:t xml:space="preserve"> of the first draft decision, the representative of the United States said that, as indicated in its communication of 10 May 2019, the United States did not consider itself to be in a treaty relationship with the State of Palestine under the Vienna Convention. </w:t>
      </w:r>
    </w:p>
    <w:p w14:paraId="659E72EA" w14:textId="77777777" w:rsidR="00FA7B34" w:rsidRPr="00621720" w:rsidRDefault="00FA7B34" w:rsidP="00FA7B34">
      <w:pPr>
        <w:pStyle w:val="Normalnumber"/>
        <w:tabs>
          <w:tab w:val="left" w:pos="624"/>
        </w:tabs>
        <w:ind w:left="1247"/>
      </w:pPr>
      <w:r w:rsidRPr="00621720">
        <w:t xml:space="preserve">The representative of </w:t>
      </w:r>
      <w:bookmarkStart w:id="21" w:name="_Hlk244620549"/>
      <w:r w:rsidRPr="00621720">
        <w:t xml:space="preserve">Côte d’Ivoire </w:t>
      </w:r>
      <w:bookmarkEnd w:id="21"/>
      <w:r w:rsidRPr="00621720">
        <w:t xml:space="preserve">asked for an explanation as to why his party was listed in the first draft decision as not having reported its data, given that he had submitted the data on 1 November. </w:t>
      </w:r>
      <w:bookmarkStart w:id="22" w:name="_Hlk244621009"/>
      <w:r w:rsidRPr="00621720">
        <w:t xml:space="preserve">The representative of the Secretariat </w:t>
      </w:r>
      <w:bookmarkEnd w:id="22"/>
      <w:r w:rsidRPr="00621720">
        <w:t xml:space="preserve">clarified that the draft decision referred to parties that had not reported their data by 30 October, the day of the Implementation Committee’s meeting. </w:t>
      </w:r>
    </w:p>
    <w:p w14:paraId="0AAB57D9" w14:textId="77777777" w:rsidR="00FA7B34" w:rsidRPr="00621720" w:rsidRDefault="00FA7B34" w:rsidP="00FA7B34">
      <w:pPr>
        <w:pStyle w:val="Normalnumber"/>
        <w:tabs>
          <w:tab w:val="left" w:pos="624"/>
        </w:tabs>
        <w:ind w:left="1247"/>
      </w:pPr>
      <w:r w:rsidRPr="00621720">
        <w:t xml:space="preserve">Another representative sought clarification regarding whether the parties could decide to change the text of the draft decisions forwarded to it by the Implementation Committee. The representative of the Secretariat clarified that it could. He noted that, in this </w:t>
      </w:r>
      <w:proofErr w:type="gramStart"/>
      <w:r w:rsidRPr="00621720">
        <w:t>particular case</w:t>
      </w:r>
      <w:proofErr w:type="gramEnd"/>
      <w:r w:rsidRPr="00621720">
        <w:t xml:space="preserve">, however, the text in the draft decision listing the parties that had not submitted data was correct, as it included the date of 30 October. The representative said that it was important that parties understood that draft decisions forwarded to them, for example by the Implementation Committee, were recommendations rather than final decisions, and could therefore be modified. </w:t>
      </w:r>
    </w:p>
    <w:p w14:paraId="0E839C83" w14:textId="2D81984B" w:rsidR="00CB5DB5" w:rsidRPr="00621720" w:rsidRDefault="00FA7B34" w:rsidP="00DA1CA7">
      <w:pPr>
        <w:pStyle w:val="Normalnumber"/>
        <w:tabs>
          <w:tab w:val="clear" w:pos="1247"/>
          <w:tab w:val="clear" w:pos="1814"/>
          <w:tab w:val="clear" w:pos="2381"/>
          <w:tab w:val="clear" w:pos="2948"/>
          <w:tab w:val="clear" w:pos="3515"/>
          <w:tab w:val="left" w:pos="624"/>
        </w:tabs>
        <w:ind w:left="1247"/>
      </w:pPr>
      <w:r w:rsidRPr="00621720">
        <w:t>[to be completed]</w:t>
      </w:r>
    </w:p>
    <w:p w14:paraId="74EF83EC" w14:textId="6CC3576F" w:rsidR="009426AA" w:rsidRPr="00621720" w:rsidRDefault="00CB5DB5" w:rsidP="00CB5DB5">
      <w:pPr>
        <w:pStyle w:val="CH1"/>
      </w:pPr>
      <w:r w:rsidRPr="00621720">
        <w:lastRenderedPageBreak/>
        <w:tab/>
        <w:t>XI.</w:t>
      </w:r>
      <w:r w:rsidRPr="00621720">
        <w:tab/>
      </w:r>
      <w:r w:rsidR="009426AA" w:rsidRPr="00621720">
        <w:t>Implementation of paragraphs 2 and 4 of Article 2J of the Montreal Protocol in respect of Azerbaijan</w:t>
      </w:r>
    </w:p>
    <w:p w14:paraId="13AC7673" w14:textId="67F6568C" w:rsidR="00FA7B34" w:rsidRPr="00621720" w:rsidRDefault="00FA7B34" w:rsidP="00FF6EC8">
      <w:pPr>
        <w:pStyle w:val="Normalnumber"/>
        <w:tabs>
          <w:tab w:val="left" w:pos="624"/>
        </w:tabs>
      </w:pPr>
      <w:r w:rsidRPr="00621720">
        <w:t xml:space="preserve">In considering the item, parties had before them paragraphs 70–74 of the note by the Secretariat on issues for discussion by and </w:t>
      </w:r>
      <w:r w:rsidRPr="00621720">
        <w:rPr>
          <w:lang w:val="en-US"/>
        </w:rPr>
        <w:t>information</w:t>
      </w:r>
      <w:r w:rsidRPr="00621720">
        <w:t xml:space="preserve"> for the attention of the Thirty-Eighth Meeting of the Parties</w:t>
      </w:r>
      <w:r w:rsidR="00B26C5B" w:rsidRPr="00621720">
        <w:t xml:space="preserve"> to the Montreal Protocol</w:t>
      </w:r>
      <w:r w:rsidRPr="00621720">
        <w:t xml:space="preserve"> (UNEP/OzL.Pro.38/2) and paragraphs 230–232 of the report of the forty-eighth meeting of the Open-ended Working Group</w:t>
      </w:r>
      <w:r w:rsidR="00C60944" w:rsidRPr="00621720">
        <w:t xml:space="preserve"> </w:t>
      </w:r>
      <w:r w:rsidRPr="00621720">
        <w:t>(</w:t>
      </w:r>
      <w:r w:rsidRPr="00621720">
        <w:rPr>
          <w:bCs/>
          <w:lang w:val="en-US"/>
        </w:rPr>
        <w:t xml:space="preserve">UNEP/Ozl.Pro.WG.1/48/5). </w:t>
      </w:r>
    </w:p>
    <w:p w14:paraId="362DA5D4" w14:textId="525F613C" w:rsidR="00FA7B34" w:rsidRPr="00621720" w:rsidRDefault="00FA7B34" w:rsidP="00FF6EC8">
      <w:pPr>
        <w:pStyle w:val="Normalnumber"/>
        <w:tabs>
          <w:tab w:val="left" w:pos="624"/>
        </w:tabs>
      </w:pPr>
      <w:r w:rsidRPr="00621720">
        <w:t>The Co-Chair recalled</w:t>
      </w:r>
      <w:r w:rsidRPr="00621720">
        <w:rPr>
          <w:bCs/>
          <w:lang w:val="en-US"/>
        </w:rPr>
        <w:t xml:space="preserve"> that, at the forty-eighth meeting of the Open-ended Working Group, </w:t>
      </w:r>
      <w:r w:rsidRPr="00621720">
        <w:t xml:space="preserve">Azerbaijan had introduced a draft decision relating to the application of paragraphs 2 and 4 of Article 2J of the Montreal Protocol to Azerbaijan. The draft decision </w:t>
      </w:r>
      <w:r w:rsidRPr="00621720">
        <w:rPr>
          <w:lang w:val="en-US"/>
        </w:rPr>
        <w:t>presented</w:t>
      </w:r>
      <w:r w:rsidRPr="00621720">
        <w:t xml:space="preserve"> by Azerbaijan at that meeting was set out in document UNEP/OzL.Pro.38/3 as draft decision XXXVIII/[CC]. Following consultations among interested representatives at that meeting, it had been agreed that discussion of the matter would be resumed at the current meeting.</w:t>
      </w:r>
    </w:p>
    <w:p w14:paraId="7130F9B8" w14:textId="50C28416" w:rsidR="00FA7B34" w:rsidRPr="00621720" w:rsidRDefault="00FA7B34" w:rsidP="00FF6EC8">
      <w:pPr>
        <w:pStyle w:val="Normalnumber"/>
        <w:tabs>
          <w:tab w:val="left" w:pos="624"/>
        </w:tabs>
      </w:pPr>
      <w:r w:rsidRPr="00621720">
        <w:t>The representative of Azerbaijan accordingly introduced a revised proposal for a draft decision, as set out in a conference room</w:t>
      </w:r>
      <w:r w:rsidR="00665F47" w:rsidRPr="00621720">
        <w:t xml:space="preserve"> </w:t>
      </w:r>
      <w:r w:rsidRPr="00621720">
        <w:t xml:space="preserve">paper. She said that Azerbaijan was presenting the matter in the context of the entry into force of the Kigali Amendment for the party in </w:t>
      </w:r>
      <w:r w:rsidRPr="00621720">
        <w:rPr>
          <w:lang w:val="en-US"/>
        </w:rPr>
        <w:t>February</w:t>
      </w:r>
      <w:r w:rsidRPr="00621720">
        <w:t xml:space="preserve"> 2026. On the basis of the understanding that paragraphs 2 and 4 of Article 2J of the Protocol conferred upon parties the authority to decide on the applicability to a party of a differentiated phase-down schedule, Azerbaijan, in the draft decision, requested parties to confirm that the phase-down schedules set out in paragraphs 2 and 4 of Article 2J were applicable in respect of Azerbaijan, in the light of the party’s national implementation circumstances, thereby providing an enabling environment for a sustainable and effective transition to low-GWP alternatives.</w:t>
      </w:r>
    </w:p>
    <w:p w14:paraId="4C42AD67" w14:textId="5684C8BD" w:rsidR="00FA7B34" w:rsidRPr="00621720" w:rsidRDefault="00FA7B34" w:rsidP="00FF6EC8">
      <w:pPr>
        <w:pStyle w:val="Normalnumber"/>
        <w:tabs>
          <w:tab w:val="left" w:pos="624"/>
        </w:tabs>
      </w:pPr>
      <w:r w:rsidRPr="00621720">
        <w:t xml:space="preserve">In the ensuing discussion, several representatives expressed support for the submission by Azerbaijan, noting that it would assist the party in meeting its obligations under the Kigali Amendment. One representative, speaking on behalf of a group of </w:t>
      </w:r>
      <w:proofErr w:type="gramStart"/>
      <w:r w:rsidRPr="00621720">
        <w:t>countries ,</w:t>
      </w:r>
      <w:proofErr w:type="gramEnd"/>
      <w:r w:rsidRPr="00621720">
        <w:t xml:space="preserve"> said that the information and data provided by Azerbaijan </w:t>
      </w:r>
      <w:proofErr w:type="spellStart"/>
      <w:r w:rsidRPr="00621720">
        <w:t>intersessionally</w:t>
      </w:r>
      <w:proofErr w:type="spellEnd"/>
      <w:r w:rsidRPr="00621720">
        <w:t xml:space="preserve"> had enabled a better understanding of the situation. It remained unclear, however, whether the observed stockpiling of HFCs in Azerbaijan in the year preceding the entry into force of the Kigali Amendment was a factor in the anticipated difficulties in meeting the party’s phase-down obligations. Given also that a cautious approach should be adopted when setting a precedent in modifying agreed obligations, further consideration of the draft decision was warranted. Another representative said that it had been established in decision XXVIII/2 that parties could decide on the applicability of paragraphs 2 and 4 of Article 2J, so the current submission by Azerbaijan would not set a </w:t>
      </w:r>
      <w:proofErr w:type="gramStart"/>
      <w:r w:rsidRPr="00621720">
        <w:t>precedent, but</w:t>
      </w:r>
      <w:proofErr w:type="gramEnd"/>
      <w:r w:rsidRPr="00621720">
        <w:t xml:space="preserve"> was rather using an agreed mechanism to move a party between groups.</w:t>
      </w:r>
    </w:p>
    <w:p w14:paraId="54ECC826" w14:textId="0F05E858" w:rsidR="00FA7B34" w:rsidRPr="00621720" w:rsidRDefault="00FA7B34" w:rsidP="00FF6EC8">
      <w:pPr>
        <w:pStyle w:val="Normalnumber"/>
        <w:tabs>
          <w:tab w:val="left" w:pos="624"/>
        </w:tabs>
      </w:pPr>
      <w:r w:rsidRPr="00621720">
        <w:t xml:space="preserve">The parties agreed that </w:t>
      </w:r>
      <w:r w:rsidR="00C944A3" w:rsidRPr="00621720">
        <w:t xml:space="preserve">an informal group of </w:t>
      </w:r>
      <w:r w:rsidRPr="00621720">
        <w:t xml:space="preserve">interested parties </w:t>
      </w:r>
      <w:r w:rsidR="00C944A3" w:rsidRPr="00621720">
        <w:t xml:space="preserve">would </w:t>
      </w:r>
      <w:r w:rsidRPr="00621720">
        <w:t xml:space="preserve">discuss the matter </w:t>
      </w:r>
      <w:r w:rsidR="00C944A3" w:rsidRPr="00621720">
        <w:t xml:space="preserve">further </w:t>
      </w:r>
      <w:r w:rsidRPr="00621720">
        <w:t xml:space="preserve">and report </w:t>
      </w:r>
      <w:r w:rsidR="00C944A3" w:rsidRPr="00621720">
        <w:t>back in plenary session on the progress achieved</w:t>
      </w:r>
      <w:r w:rsidRPr="00621720">
        <w:t xml:space="preserve">. </w:t>
      </w:r>
    </w:p>
    <w:p w14:paraId="27551390" w14:textId="70C0BAFB" w:rsidR="00CB5DB5" w:rsidRPr="00621720" w:rsidRDefault="004B47EF" w:rsidP="00FF6EC8">
      <w:pPr>
        <w:pStyle w:val="Normalnumber"/>
        <w:tabs>
          <w:tab w:val="left" w:pos="624"/>
        </w:tabs>
      </w:pPr>
      <w:r w:rsidRPr="00621720">
        <w:t>[to be completed]</w:t>
      </w:r>
    </w:p>
    <w:p w14:paraId="23A4F756" w14:textId="30627107" w:rsidR="009426AA" w:rsidRPr="00621720" w:rsidRDefault="00CB5DB5" w:rsidP="00CB5DB5">
      <w:pPr>
        <w:pStyle w:val="CH1"/>
      </w:pPr>
      <w:r w:rsidRPr="00621720">
        <w:tab/>
        <w:t>XII.</w:t>
      </w:r>
      <w:r w:rsidRPr="00621720">
        <w:tab/>
      </w:r>
      <w:r w:rsidR="009426AA" w:rsidRPr="00621720">
        <w:t>Participation of the Central Asian States in the Group of Eastern European States</w:t>
      </w:r>
    </w:p>
    <w:p w14:paraId="14EE577B" w14:textId="40ADE67F" w:rsidR="0015472A" w:rsidRPr="00621720" w:rsidRDefault="0015472A" w:rsidP="00FF6EC8">
      <w:pPr>
        <w:pStyle w:val="Normalnumber"/>
        <w:tabs>
          <w:tab w:val="left" w:pos="624"/>
        </w:tabs>
      </w:pPr>
      <w:r w:rsidRPr="00621720">
        <w:t xml:space="preserve">In considering the item, parties had before them paragraphs 75–79 of the note by the Secretariat on issues for </w:t>
      </w:r>
      <w:r w:rsidRPr="00621720">
        <w:rPr>
          <w:lang w:val="en-US"/>
        </w:rPr>
        <w:t>discussion</w:t>
      </w:r>
      <w:r w:rsidRPr="00621720">
        <w:t xml:space="preserve"> by and information for the attention of the Thirty-Eighth Meeting of the Parties </w:t>
      </w:r>
      <w:r w:rsidR="00B26C5B" w:rsidRPr="00621720">
        <w:t xml:space="preserve">to the Montreal Protocol </w:t>
      </w:r>
      <w:r w:rsidRPr="00621720">
        <w:t xml:space="preserve">(UNEP/OzL.Pro.38/2), paragraphs 193–221 of the </w:t>
      </w:r>
      <w:bookmarkStart w:id="23" w:name="_Hlk244622706"/>
      <w:r w:rsidRPr="00621720">
        <w:t xml:space="preserve">report of the </w:t>
      </w:r>
      <w:bookmarkStart w:id="24" w:name="_Hlk244624597"/>
      <w:r w:rsidRPr="00621720">
        <w:t xml:space="preserve">forty-eighth meeting of the Open-ended Working Group </w:t>
      </w:r>
      <w:bookmarkEnd w:id="23"/>
      <w:bookmarkEnd w:id="24"/>
      <w:r w:rsidRPr="00621720">
        <w:t>(UNEP/OzL.Pro.WG.1/48/5) and the note by the Secretariat summarizing background information on the membership of the Group of Eastern European States prepared for the forty-eighth meeting of the Open-ended Working Group</w:t>
      </w:r>
      <w:bookmarkStart w:id="25" w:name="_Hlk244612418"/>
      <w:r w:rsidRPr="00621720">
        <w:t xml:space="preserve"> </w:t>
      </w:r>
      <w:bookmarkEnd w:id="25"/>
      <w:r w:rsidRPr="00621720">
        <w:t>(</w:t>
      </w:r>
      <w:r w:rsidRPr="00621720">
        <w:rPr>
          <w:bCs/>
        </w:rPr>
        <w:t>UNEP/Ozl.Pro.WG.1/48/INF/4/Rev.1–UNEP/OzL.Pro.ExMOP.6/INF/1/Rev.1).</w:t>
      </w:r>
    </w:p>
    <w:p w14:paraId="169ED836" w14:textId="3F15DE3E" w:rsidR="0015472A" w:rsidRPr="00621720" w:rsidRDefault="0015472A" w:rsidP="0015472A">
      <w:pPr>
        <w:pStyle w:val="Normalnumber"/>
        <w:tabs>
          <w:tab w:val="left" w:pos="624"/>
        </w:tabs>
        <w:ind w:left="1247"/>
      </w:pPr>
      <w:r w:rsidRPr="00621720">
        <w:t>Introducing the item, the Co-Chair recalled that, at the forty-eighth meeting of the Open</w:t>
      </w:r>
      <w:bookmarkStart w:id="26" w:name="_Hlk244624343"/>
      <w:r w:rsidRPr="00621720">
        <w:t>-</w:t>
      </w:r>
      <w:r w:rsidR="007360E5" w:rsidRPr="00621720">
        <w:t>e</w:t>
      </w:r>
      <w:r w:rsidRPr="00621720">
        <w:t>nded Working Group</w:t>
      </w:r>
      <w:bookmarkEnd w:id="26"/>
      <w:r w:rsidRPr="00621720">
        <w:t xml:space="preserve">, members of the </w:t>
      </w:r>
      <w:bookmarkStart w:id="27" w:name="_Hlk244624919"/>
      <w:r w:rsidRPr="00621720">
        <w:t xml:space="preserve">Group of Eastern European States </w:t>
      </w:r>
      <w:bookmarkEnd w:id="27"/>
      <w:r w:rsidRPr="00621720">
        <w:t>and other interested parties had held informal discussion</w:t>
      </w:r>
      <w:r w:rsidR="007360E5" w:rsidRPr="00621720">
        <w:t>s</w:t>
      </w:r>
      <w:r w:rsidRPr="00621720">
        <w:t xml:space="preserve"> in the margins of the meeting, including on the draft decision presented by Kazakhstan, also on behalf of </w:t>
      </w:r>
      <w:bookmarkStart w:id="28" w:name="_Hlk244624494"/>
      <w:r w:rsidRPr="00621720">
        <w:t>Kyrgyzstan</w:t>
      </w:r>
      <w:bookmarkEnd w:id="28"/>
      <w:r w:rsidRPr="00621720">
        <w:t xml:space="preserve">, Tajikistan, Turkmenistan and Uzbekistan. No consensus had been reached among the participating parties on the draft decision or on a resolution to the issue, and the Working Group had therefore agreed to include the matter in the provisional agenda of the current meeting. She noted that discussions had continued in the margins of the current </w:t>
      </w:r>
      <w:proofErr w:type="gramStart"/>
      <w:r w:rsidRPr="00621720">
        <w:t>meeting, and</w:t>
      </w:r>
      <w:proofErr w:type="gramEnd"/>
      <w:r w:rsidRPr="00621720">
        <w:t xml:space="preserve"> proposed that the format adopted at the forty-eighth meeting of the Working Group, namely informal consultations among interested parties in the margins of the meeting, should continue.</w:t>
      </w:r>
    </w:p>
    <w:p w14:paraId="66D950E1" w14:textId="77777777" w:rsidR="0015472A" w:rsidRPr="00621720" w:rsidRDefault="0015472A" w:rsidP="0015472A">
      <w:pPr>
        <w:pStyle w:val="Normalnumber"/>
        <w:tabs>
          <w:tab w:val="left" w:pos="624"/>
        </w:tabs>
        <w:ind w:left="1247"/>
      </w:pPr>
      <w:r w:rsidRPr="00621720">
        <w:lastRenderedPageBreak/>
        <w:t>The representative of Kazakhstan drew attention to a letter prepared by the Central Asian States, requesting that it be made available on the meeting portal. The Co-Chair agreed that the letter would be posted on the meeting portal.</w:t>
      </w:r>
    </w:p>
    <w:p w14:paraId="3A00A998" w14:textId="77777777" w:rsidR="0015472A" w:rsidRPr="00621720" w:rsidRDefault="0015472A" w:rsidP="0015472A">
      <w:pPr>
        <w:pStyle w:val="Normalnumber"/>
        <w:tabs>
          <w:tab w:val="left" w:pos="624"/>
        </w:tabs>
      </w:pPr>
      <w:r w:rsidRPr="00621720">
        <w:t xml:space="preserve">One representative recalled the responses provided by the Secretariat to questions that had been raised at the forty-eighth meeting of the Working Group, namely that no single State had the right to exclude another State from a regional group and that every State had the right to exercise its sovereign rights within the traditional regional mechanisms. He said that, given those clarifications, he had felt that there was no need for any further discussion of the matter. Nevertheless, he had carefully studied a letter written by </w:t>
      </w:r>
      <w:bookmarkStart w:id="29" w:name="_Hlk244626600"/>
      <w:r w:rsidRPr="00621720">
        <w:t xml:space="preserve">14 members of the </w:t>
      </w:r>
      <w:bookmarkStart w:id="30" w:name="_Hlk244625433"/>
      <w:r w:rsidRPr="00621720">
        <w:t xml:space="preserve">Group of Eastern European States </w:t>
      </w:r>
      <w:bookmarkEnd w:id="29"/>
      <w:bookmarkEnd w:id="30"/>
      <w:r w:rsidRPr="00621720">
        <w:t xml:space="preserve">that suggested that the Group comprised 23 member States, not including the five Central Asian States. He noted that, clearly, it did not represent an agreed position of the whole Group. </w:t>
      </w:r>
    </w:p>
    <w:p w14:paraId="46770E99" w14:textId="77777777" w:rsidR="0015472A" w:rsidRPr="00621720" w:rsidRDefault="0015472A" w:rsidP="0015472A">
      <w:pPr>
        <w:pStyle w:val="Normalnumber"/>
        <w:tabs>
          <w:tab w:val="left" w:pos="624"/>
        </w:tabs>
      </w:pPr>
      <w:r w:rsidRPr="00621720">
        <w:t xml:space="preserve">In the letter, reference was made to a resolution of the United Nations General Assembly and an information note by the Secretariat, but neither of those documents contained any decision establishing the initial composition of the Group of Eastern European States, the criteria for its membership or the procedure for changing its composition. </w:t>
      </w:r>
      <w:proofErr w:type="gramStart"/>
      <w:r w:rsidRPr="00621720">
        <w:t>In reality, representatives</w:t>
      </w:r>
      <w:proofErr w:type="gramEnd"/>
      <w:r w:rsidRPr="00621720">
        <w:t xml:space="preserve"> of several Central Asian States had, in the past, been nominated to subsidiary bodies of the Montreal Protocol on behalf of the Group of Eastern European States, so the claim that the Central Asian States had never been part of the Group was not true. </w:t>
      </w:r>
    </w:p>
    <w:p w14:paraId="6077F060" w14:textId="36BD475A" w:rsidR="0015472A" w:rsidRPr="00621720" w:rsidRDefault="0015472A" w:rsidP="0015472A">
      <w:pPr>
        <w:pStyle w:val="Normalnumber"/>
        <w:tabs>
          <w:tab w:val="left" w:pos="624"/>
        </w:tabs>
      </w:pPr>
      <w:r w:rsidRPr="00621720">
        <w:t>Responding to a question posed by the representative, the representative of the Secretariat said that</w:t>
      </w:r>
      <w:r w:rsidR="00811D59" w:rsidRPr="00621720">
        <w:t>, to the best of his recollection,</w:t>
      </w:r>
      <w:r w:rsidRPr="00621720">
        <w:t xml:space="preserve"> the name of the regional group had always been the Group of Eastern European States. </w:t>
      </w:r>
    </w:p>
    <w:p w14:paraId="744D892F" w14:textId="44FBB35C" w:rsidR="0015472A" w:rsidRPr="00621720" w:rsidRDefault="0015472A" w:rsidP="0015472A">
      <w:pPr>
        <w:pStyle w:val="Normalnumber"/>
        <w:tabs>
          <w:tab w:val="left" w:pos="624"/>
        </w:tabs>
      </w:pPr>
      <w:r w:rsidRPr="00621720">
        <w:t>The same representative</w:t>
      </w:r>
      <w:r w:rsidR="00811D59" w:rsidRPr="00621720">
        <w:t xml:space="preserve"> of a party</w:t>
      </w:r>
      <w:r w:rsidRPr="00621720">
        <w:t xml:space="preserve"> pointed out, however, that </w:t>
      </w:r>
      <w:bookmarkStart w:id="31" w:name="_Hlk244626988"/>
      <w:r w:rsidRPr="00621720">
        <w:t>decision XVI/38</w:t>
      </w:r>
      <w:bookmarkEnd w:id="31"/>
      <w:r w:rsidRPr="00621720">
        <w:t>, adopted by the Sixteenth Meeting of the Parties, in 2004, had referred explicitly to the countries of Eastern Europe and Central Asia, thereby demonstrating the existing institutional practice of the Montreal Protocol over many years, which, he said, could not simply be ignored. The letter from 14 Eastern European States had no legal force. Nevertheless, the Central Asian States were willing to engage in constructive dialogue.</w:t>
      </w:r>
    </w:p>
    <w:p w14:paraId="5D94C902" w14:textId="071CAB2A" w:rsidR="0015472A" w:rsidRPr="00621720" w:rsidRDefault="0015472A" w:rsidP="0015472A">
      <w:pPr>
        <w:pStyle w:val="Normalnumber"/>
        <w:tabs>
          <w:tab w:val="left" w:pos="624"/>
        </w:tabs>
      </w:pPr>
      <w:r w:rsidRPr="00621720">
        <w:t xml:space="preserve">Several other representatives stated their agreement with those </w:t>
      </w:r>
      <w:proofErr w:type="gramStart"/>
      <w:r w:rsidRPr="00621720">
        <w:t>views, and</w:t>
      </w:r>
      <w:proofErr w:type="gramEnd"/>
      <w:r w:rsidRPr="00621720">
        <w:t xml:space="preserve"> supported the continued participation of </w:t>
      </w:r>
      <w:r w:rsidR="00CD2577" w:rsidRPr="00621720">
        <w:t xml:space="preserve">the </w:t>
      </w:r>
      <w:r w:rsidRPr="00621720">
        <w:t xml:space="preserve">Central Asian States in the </w:t>
      </w:r>
      <w:bookmarkStart w:id="32" w:name="_Hlk244628135"/>
      <w:r w:rsidRPr="00621720">
        <w:t>Group of Eastern European States</w:t>
      </w:r>
      <w:bookmarkEnd w:id="32"/>
      <w:r w:rsidRPr="00621720">
        <w:t xml:space="preserve">, noting that they had done so for almost 40 years. Regional groups were informal associations of parties, and every party had the right to choose </w:t>
      </w:r>
      <w:r w:rsidR="00CD2577" w:rsidRPr="00621720">
        <w:t xml:space="preserve">the region </w:t>
      </w:r>
      <w:r w:rsidRPr="00621720">
        <w:t xml:space="preserve">in which it wished to work </w:t>
      </w:r>
      <w:proofErr w:type="gramStart"/>
      <w:r w:rsidRPr="00621720">
        <w:t>in order to</w:t>
      </w:r>
      <w:proofErr w:type="gramEnd"/>
      <w:r w:rsidRPr="00621720">
        <w:t xml:space="preserve"> contribute to the implementation of the Montreal Protocol. The classification of regions by the United Nations General Assembly, which had been mentioned, could not serve as mandatory guidance in the context of the Montreal Protocol, which had established its own long-standing traditions and practice, contributing to its success. Discussions on regional participation should be based on dialogue, mutual understanding and consensus, and should not weaken the existing arrangements whereby regional groups determined their own membership and the nominations they put forward.</w:t>
      </w:r>
    </w:p>
    <w:p w14:paraId="2FF03203" w14:textId="77777777" w:rsidR="0015472A" w:rsidRPr="00621720" w:rsidRDefault="0015472A" w:rsidP="0015472A">
      <w:pPr>
        <w:pStyle w:val="Normalnumber"/>
        <w:tabs>
          <w:tab w:val="left" w:pos="624"/>
        </w:tabs>
      </w:pPr>
      <w:r w:rsidRPr="00621720">
        <w:t xml:space="preserve">One representative, while emphasizing the importance of regional arrangements that had evolved over many years, said that there was a need to distinguish between the arrangements for </w:t>
      </w:r>
      <w:bookmarkStart w:id="33" w:name="_Hlk244631861"/>
      <w:r w:rsidRPr="00621720">
        <w:t>regional representation on the Executive Committee of the Multilateral Fund</w:t>
      </w:r>
      <w:bookmarkEnd w:id="33"/>
      <w:r w:rsidRPr="00621720">
        <w:t>, which had been the subject of decision XVI/38, and the rights of parties under the Montreal Protocol. He expressed the hope that parties would be able to engage in constructive discussion and reach consensus.</w:t>
      </w:r>
    </w:p>
    <w:p w14:paraId="2CBB603A" w14:textId="490A6AEB" w:rsidR="0015472A" w:rsidRPr="00621720" w:rsidRDefault="0015472A" w:rsidP="0015472A">
      <w:pPr>
        <w:pStyle w:val="Normalnumber"/>
        <w:tabs>
          <w:tab w:val="left" w:pos="624"/>
        </w:tabs>
      </w:pPr>
      <w:r w:rsidRPr="00621720">
        <w:t xml:space="preserve">Anther representative argued that the composition of regional groups was a matter for the groups themselves, and not for a Meeting of the Parties to determine or change. </w:t>
      </w:r>
      <w:r w:rsidR="00FC33C9" w:rsidRPr="00621720">
        <w:t>In a</w:t>
      </w:r>
      <w:r w:rsidR="007D5605" w:rsidRPr="00621720">
        <w:t>n updated</w:t>
      </w:r>
      <w:r w:rsidR="00FC33C9" w:rsidRPr="00621720">
        <w:t xml:space="preserve"> version of the letter, signed by 16 member States of the Group of Eastern European States and made available to the parties, the signatories</w:t>
      </w:r>
      <w:r w:rsidRPr="00621720">
        <w:t xml:space="preserve"> had expressed</w:t>
      </w:r>
      <w:r w:rsidR="00FC33C9" w:rsidRPr="00621720">
        <w:t xml:space="preserve"> the view</w:t>
      </w:r>
      <w:r w:rsidRPr="00621720">
        <w:t xml:space="preserve"> that at no point had they considered the Central Asian States to be members of the Group. While they appreciated the past cooperation between the countries of the Eastern European region and the Central Asian countries, for example in the framework of the European and Central Asian network, the practice under the Vienna Convention and the Montreal Protocol had always been to use, for the purpose of elections, the regional groups as they existed in the United Nations General Assembly, as confirmed in the summary of background information provided by the Secretariat for the forty-eighth meeting of the Open-</w:t>
      </w:r>
      <w:r w:rsidR="007360E5" w:rsidRPr="00621720">
        <w:t>e</w:t>
      </w:r>
      <w:r w:rsidRPr="00621720">
        <w:t>nded Working Group. The Group of Eastern European States consisted of 23 members and its composition under the Montreal Protocol had never been changed. No party could enforce its admission to a regional group when there was no consensus amongst the group’s existing members.</w:t>
      </w:r>
    </w:p>
    <w:p w14:paraId="2B676152" w14:textId="77777777" w:rsidR="0015472A" w:rsidRPr="00621720" w:rsidRDefault="0015472A" w:rsidP="0015472A">
      <w:pPr>
        <w:pStyle w:val="Normalnumber"/>
        <w:tabs>
          <w:tab w:val="left" w:pos="624"/>
        </w:tabs>
      </w:pPr>
      <w:r w:rsidRPr="00621720">
        <w:t xml:space="preserve">On the question of the regional representation on the Executive Committee of the Multilateral Fund, it was important to distinguish between those specific arrangements and the composition of regional groups more broadly. The Executive Committee arrangements explicitly referred to the </w:t>
      </w:r>
      <w:r w:rsidRPr="00621720">
        <w:lastRenderedPageBreak/>
        <w:t xml:space="preserve">“Eastern Europe and Central Asian” parties for that </w:t>
      </w:r>
      <w:proofErr w:type="gramStart"/>
      <w:r w:rsidRPr="00621720">
        <w:t>purpose, and</w:t>
      </w:r>
      <w:proofErr w:type="gramEnd"/>
      <w:r w:rsidRPr="00621720">
        <w:t xml:space="preserve"> did not in themselves establish the membership of the Group of Eastern European States. He supported that case of continued cooperation but stressed that it was a separate issue.</w:t>
      </w:r>
    </w:p>
    <w:p w14:paraId="380D4EDF" w14:textId="63CC664C" w:rsidR="0015472A" w:rsidRPr="00621720" w:rsidRDefault="0015472A" w:rsidP="0015472A">
      <w:pPr>
        <w:pStyle w:val="Normalnumber"/>
        <w:tabs>
          <w:tab w:val="left" w:pos="624"/>
        </w:tabs>
      </w:pPr>
      <w:r w:rsidRPr="00621720">
        <w:t xml:space="preserve">The signatories to the letter had tried to build a shared understanding with the Central Asian countries on their cooperation with the Group of Eastern European States with regard to elections to subsidiary bodies, but unfortunately the proposals put forward by his group had not been accepted and the attempt to agree on basic principles for future cooperation had not been successful. Nevertheless, he remained open to discussion on options for constructive </w:t>
      </w:r>
      <w:proofErr w:type="gramStart"/>
      <w:r w:rsidRPr="00621720">
        <w:t>collaboration, but</w:t>
      </w:r>
      <w:proofErr w:type="gramEnd"/>
      <w:r w:rsidRPr="00621720">
        <w:t xml:space="preserve"> stressed his strong belief that the matter should be discussed by the parties concerned, and not by </w:t>
      </w:r>
      <w:r w:rsidR="00E57F92" w:rsidRPr="00621720">
        <w:t xml:space="preserve">a </w:t>
      </w:r>
      <w:r w:rsidRPr="00621720">
        <w:t>Meeting of the Parties.</w:t>
      </w:r>
    </w:p>
    <w:p w14:paraId="719790CF" w14:textId="6B620E50" w:rsidR="0015472A" w:rsidRPr="00621720" w:rsidRDefault="0015472A" w:rsidP="0015472A">
      <w:pPr>
        <w:pStyle w:val="Normalnumber"/>
      </w:pPr>
      <w:r w:rsidRPr="00621720">
        <w:t xml:space="preserve">Several other representatives expressed the view that the composition of regional groups was a matter for the groups themselves and not for </w:t>
      </w:r>
      <w:r w:rsidR="00432660" w:rsidRPr="00621720">
        <w:t xml:space="preserve">a </w:t>
      </w:r>
      <w:r w:rsidRPr="00621720">
        <w:t xml:space="preserve">Meeting of the Parties to determine. Since the Montreal Protocol had never defined the composition of regional groups, the existing United Nations regional group arrangements should continue to apply. They said that they were willing to continue discussions on the matter in an informal group but would not agree to a decision of </w:t>
      </w:r>
      <w:r w:rsidR="00821704" w:rsidRPr="00621720">
        <w:t xml:space="preserve">a </w:t>
      </w:r>
      <w:r w:rsidRPr="00621720">
        <w:t>Meeting of the Parties.</w:t>
      </w:r>
    </w:p>
    <w:p w14:paraId="5E9B4032" w14:textId="77777777" w:rsidR="0015472A" w:rsidRPr="00621720" w:rsidRDefault="0015472A" w:rsidP="0015472A">
      <w:pPr>
        <w:pStyle w:val="Normalnumber"/>
      </w:pPr>
      <w:r w:rsidRPr="00621720">
        <w:t xml:space="preserve">Another representative disagreed with the statement that the Central Asian States had never been members of the </w:t>
      </w:r>
      <w:bookmarkStart w:id="34" w:name="_Hlk244629120"/>
      <w:r w:rsidRPr="00621720">
        <w:t>Group of Eastern European States</w:t>
      </w:r>
      <w:bookmarkEnd w:id="34"/>
      <w:r w:rsidRPr="00621720">
        <w:t>, which, he said, was clear not only from decision XVI/38 but also the fact that representatives from Central Asian parties had repeatedly been elected to positions under the Protocol from the Group of Eastern European States. Since there was no document that set out the founding membership of regional groups, the parties needed to be guided by existing and past institutional practice.</w:t>
      </w:r>
    </w:p>
    <w:p w14:paraId="04FAA6B1" w14:textId="77777777" w:rsidR="0015472A" w:rsidRPr="00621720" w:rsidRDefault="0015472A" w:rsidP="0015472A">
      <w:pPr>
        <w:pStyle w:val="Normalnumber"/>
      </w:pPr>
      <w:r w:rsidRPr="00621720">
        <w:t xml:space="preserve">Another representative recalled that the resolution of the United Nations General Assembly that had been referred to had been adopted in 1972, when the five Central Asian countries had been part of the former Soviet Union. Following the dissolution of the Soviet Union in 1991, those newly independent States had continued to participate in the Group of Eastern European States, in line with the principle of continuity of membership and the long-standing institutional practice in the United Nations system. Since there had been no binding legal instrument redefining the composition of regional groups under the Montreal Protocol, customary institutional practice continued to guide the participation of countries in those groups. He acknowledged that the proposal put forward by other Eastern European States had not been </w:t>
      </w:r>
      <w:proofErr w:type="gramStart"/>
      <w:r w:rsidRPr="00621720">
        <w:t>accepted, but</w:t>
      </w:r>
      <w:proofErr w:type="gramEnd"/>
      <w:r w:rsidRPr="00621720">
        <w:t xml:space="preserve"> pointed out that the alternative proposal put forward by his group had also not been accepted. He said that he remained open for any further consultations, but felt, with regret, that the parties were drifting further apart in trying to find common ground.</w:t>
      </w:r>
    </w:p>
    <w:p w14:paraId="1ED996B1" w14:textId="2BCC11B1" w:rsidR="0015472A" w:rsidRPr="00621720" w:rsidRDefault="0015472A" w:rsidP="0015472A">
      <w:pPr>
        <w:pStyle w:val="Normalnumber"/>
      </w:pPr>
      <w:r w:rsidRPr="00621720">
        <w:t xml:space="preserve">Another representative pointed out that none of the Eastern European States had explained why they did not want the Central Asian countries to be members of the Group of Eastern European States. He said that he could not accept the argument that </w:t>
      </w:r>
      <w:r w:rsidR="00A66711" w:rsidRPr="00621720">
        <w:t xml:space="preserve">a </w:t>
      </w:r>
      <w:r w:rsidRPr="00621720">
        <w:t xml:space="preserve">Meeting of the Parties could not discuss the matter, because membership of the regional groups was important for elections to Montreal Protocol bodies. </w:t>
      </w:r>
    </w:p>
    <w:p w14:paraId="1C76B53B" w14:textId="2FB4A438" w:rsidR="0015472A" w:rsidRPr="00621720" w:rsidRDefault="0015472A" w:rsidP="0015472A">
      <w:pPr>
        <w:pStyle w:val="Normalnumber"/>
      </w:pPr>
      <w:r w:rsidRPr="00621720">
        <w:t>One representative underlined the importance of regional cooperation, inclusivity and equitable participation in the work of the Montreal Protocol. He expressed the hope that parties would continue to be guided by the principles of sovereign equality, respect for established multilateral processes, dialogue and consensus-building, and he encouraged an open and constructive dialogue among the parties concerned with due regard to established procedures and regional arrangements. The parties’ common objectives should be to strengthen cooperation, promote inclusivity and preserve the unity and effectiveness of the Montreal Protocol.</w:t>
      </w:r>
    </w:p>
    <w:p w14:paraId="1113635D" w14:textId="0A63F95D" w:rsidR="0015472A" w:rsidRPr="00621720" w:rsidRDefault="0015472A" w:rsidP="0015472A">
      <w:pPr>
        <w:pStyle w:val="Normalnumber"/>
        <w:tabs>
          <w:tab w:val="left" w:pos="624"/>
        </w:tabs>
      </w:pPr>
      <w:r w:rsidRPr="00621720">
        <w:t xml:space="preserve">The parties agreed that </w:t>
      </w:r>
      <w:r w:rsidR="00B26C5B" w:rsidRPr="00621720">
        <w:t xml:space="preserve">informal </w:t>
      </w:r>
      <w:r w:rsidR="0015068A" w:rsidRPr="00621720">
        <w:t>consultation</w:t>
      </w:r>
      <w:r w:rsidR="00CB5147" w:rsidRPr="00621720">
        <w:t xml:space="preserve">s </w:t>
      </w:r>
      <w:r w:rsidR="00AB03E5" w:rsidRPr="00621720">
        <w:t>among</w:t>
      </w:r>
      <w:r w:rsidR="00B26C5B" w:rsidRPr="00621720">
        <w:t xml:space="preserve"> </w:t>
      </w:r>
      <w:r w:rsidRPr="00621720">
        <w:t xml:space="preserve">interested parties would continue in the margins of the meeting. </w:t>
      </w:r>
    </w:p>
    <w:p w14:paraId="6083A4CF" w14:textId="2A0EAB11" w:rsidR="00CB5DB5"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530E29AF" w14:textId="2F7049F9" w:rsidR="009426AA" w:rsidRPr="00621720" w:rsidRDefault="00CB5DB5" w:rsidP="0051568A">
      <w:pPr>
        <w:pStyle w:val="CH1"/>
      </w:pPr>
      <w:r w:rsidRPr="00621720">
        <w:tab/>
        <w:t>XII</w:t>
      </w:r>
      <w:r w:rsidR="0051568A" w:rsidRPr="00621720">
        <w:t>I</w:t>
      </w:r>
      <w:r w:rsidRPr="00621720">
        <w:t>.</w:t>
      </w:r>
      <w:r w:rsidRPr="00621720">
        <w:tab/>
      </w:r>
      <w:r w:rsidR="009426AA" w:rsidRPr="00621720">
        <w:t>Status of ratification of the Kigali Amendment</w:t>
      </w:r>
    </w:p>
    <w:p w14:paraId="3BA4EEB6" w14:textId="11249036" w:rsidR="00FA7B34" w:rsidRPr="00621720" w:rsidRDefault="00FA7B34" w:rsidP="00FF6EC8">
      <w:pPr>
        <w:pStyle w:val="Normalnumber"/>
        <w:tabs>
          <w:tab w:val="left" w:pos="624"/>
        </w:tabs>
      </w:pPr>
      <w:r w:rsidRPr="00621720">
        <w:t>In considering the item, parties had before them paragraphs 87 and 88 of the note by the Secretariat on issues for discussion by and information for the attention of the Thirty-Eighth Meeting of the Parties</w:t>
      </w:r>
      <w:r w:rsidR="00B26C5B" w:rsidRPr="00621720">
        <w:t xml:space="preserve"> to the Montreal Protocol</w:t>
      </w:r>
      <w:r w:rsidRPr="00621720">
        <w:t xml:space="preserve"> (UNEP/OzL.Pro.38/2) and the note by the Secretariat on the status of ratification, acceptance or approval of the Kigali Amendment to the Montreal Protocol on Substances that Deplete the Ozone Layer </w:t>
      </w:r>
      <w:r w:rsidR="009F1899" w:rsidRPr="00621720">
        <w:t>(</w:t>
      </w:r>
      <w:r w:rsidRPr="00621720">
        <w:t>UNEP/OzL.Pro.38/INF/5). A draft decision on the matter was set out in document UNEP/OzL.Pro.38/3 (draft decision XXXVIII/[GGG]).</w:t>
      </w:r>
    </w:p>
    <w:p w14:paraId="17DB8672" w14:textId="49568E99" w:rsidR="00FA7B34" w:rsidRPr="00621720" w:rsidRDefault="00FA7B34" w:rsidP="00FA7B34">
      <w:pPr>
        <w:pStyle w:val="Normalnumber"/>
      </w:pPr>
      <w:r w:rsidRPr="00621720">
        <w:t>The Co-Chair said that, as at 30 October 2026, 17</w:t>
      </w:r>
      <w:r w:rsidR="00AB03E5" w:rsidRPr="00621720">
        <w:t>6</w:t>
      </w:r>
      <w:r w:rsidRPr="00621720">
        <w:t xml:space="preserve"> parties had ratified the Amendment, with 2</w:t>
      </w:r>
      <w:r w:rsidR="00AB03E5" w:rsidRPr="00621720">
        <w:t>2</w:t>
      </w:r>
      <w:r w:rsidRPr="00621720">
        <w:t xml:space="preserve"> more needed for universal ratification. The number of ratifications would be updated, as appropriate, </w:t>
      </w:r>
      <w:r w:rsidRPr="00621720">
        <w:lastRenderedPageBreak/>
        <w:t>at the time of the consideration and possible adoption of the relevant draft decision during the high-level segment.</w:t>
      </w:r>
    </w:p>
    <w:p w14:paraId="0FA0819D" w14:textId="37381F93" w:rsidR="00CB5DB5" w:rsidRPr="00621720" w:rsidRDefault="00FA7B34" w:rsidP="00FF6EC8">
      <w:pPr>
        <w:pStyle w:val="Normalnumber"/>
      </w:pPr>
      <w:r w:rsidRPr="00621720">
        <w:t>The parties agreed to forward the draft decision</w:t>
      </w:r>
      <w:r w:rsidR="0048706C" w:rsidRPr="00621720">
        <w:t>, as orally amended,</w:t>
      </w:r>
      <w:r w:rsidRPr="00621720">
        <w:t xml:space="preserve"> for further consideration and possible adoption during the high-level segment.</w:t>
      </w:r>
    </w:p>
    <w:p w14:paraId="6161F4AA" w14:textId="285BBFD8" w:rsidR="009426AA" w:rsidRPr="00621720" w:rsidRDefault="00CB5DB5" w:rsidP="00CB5DB5">
      <w:pPr>
        <w:pStyle w:val="CH1"/>
      </w:pPr>
      <w:r w:rsidRPr="00621720">
        <w:tab/>
        <w:t>X</w:t>
      </w:r>
      <w:r w:rsidR="0051568A" w:rsidRPr="00621720">
        <w:t>I</w:t>
      </w:r>
      <w:r w:rsidRPr="00621720">
        <w:t>V.</w:t>
      </w:r>
      <w:r w:rsidRPr="00621720">
        <w:tab/>
      </w:r>
      <w:r w:rsidR="009426AA" w:rsidRPr="00621720">
        <w:t>Other matters</w:t>
      </w:r>
    </w:p>
    <w:p w14:paraId="6A4DA2FB" w14:textId="77777777" w:rsidR="00FA7B34" w:rsidRPr="00621720" w:rsidRDefault="00FA7B34" w:rsidP="00FA7B34">
      <w:pPr>
        <w:pStyle w:val="Normalnumber"/>
      </w:pPr>
      <w:r w:rsidRPr="00621720">
        <w:t>There were no other matters for consideration by the parties.</w:t>
      </w:r>
    </w:p>
    <w:p w14:paraId="05F412A6" w14:textId="666BFA39" w:rsidR="009426AA" w:rsidRPr="00621720" w:rsidRDefault="009426AA" w:rsidP="00CB5DB5">
      <w:pPr>
        <w:pStyle w:val="CH1"/>
        <w:spacing w:before="360"/>
      </w:pPr>
      <w:r w:rsidRPr="00621720">
        <w:tab/>
      </w:r>
      <w:r w:rsidR="005A07E1" w:rsidRPr="00621720">
        <w:tab/>
      </w:r>
      <w:r w:rsidR="00CB5DB5" w:rsidRPr="00621720">
        <w:t>Part two: h</w:t>
      </w:r>
      <w:r w:rsidRPr="00621720">
        <w:t>igh-level segment (5 and 6 November 2026)</w:t>
      </w:r>
    </w:p>
    <w:p w14:paraId="7F7C2B90" w14:textId="590B6EC5" w:rsidR="009426AA" w:rsidRPr="00621720" w:rsidRDefault="005A07E1" w:rsidP="005A07E1">
      <w:pPr>
        <w:pStyle w:val="CH1"/>
      </w:pPr>
      <w:r w:rsidRPr="00621720">
        <w:tab/>
        <w:t>I.</w:t>
      </w:r>
      <w:r w:rsidRPr="00621720">
        <w:tab/>
      </w:r>
      <w:r w:rsidR="009426AA" w:rsidRPr="00621720">
        <w:t>Opening of the high-level segment</w:t>
      </w:r>
    </w:p>
    <w:p w14:paraId="3826A103" w14:textId="075EA69F" w:rsidR="005A07E1"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59A03B88" w14:textId="63298F0F" w:rsidR="009426AA" w:rsidRPr="00621720" w:rsidRDefault="005A07E1" w:rsidP="005A07E1">
      <w:pPr>
        <w:pStyle w:val="CH2"/>
      </w:pPr>
      <w:r w:rsidRPr="00621720">
        <w:tab/>
        <w:t>A.</w:t>
      </w:r>
      <w:r w:rsidRPr="00621720">
        <w:tab/>
      </w:r>
      <w:r w:rsidR="009426AA" w:rsidRPr="00621720">
        <w:t>Statement by the President of the Thirty-</w:t>
      </w:r>
      <w:r w:rsidR="00E755C7" w:rsidRPr="00621720">
        <w:t>Eigh</w:t>
      </w:r>
      <w:r w:rsidR="009426AA" w:rsidRPr="00621720">
        <w:t>th Meeting of the Parties to the Montreal Protocol</w:t>
      </w:r>
    </w:p>
    <w:p w14:paraId="2B4B7525" w14:textId="6A780074" w:rsidR="005A07E1"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7318B2EF" w14:textId="3CF36EC2" w:rsidR="009426AA" w:rsidRPr="00621720" w:rsidRDefault="005A07E1" w:rsidP="005A07E1">
      <w:pPr>
        <w:pStyle w:val="CH2"/>
      </w:pPr>
      <w:r w:rsidRPr="00621720">
        <w:tab/>
        <w:t>B.</w:t>
      </w:r>
      <w:r w:rsidRPr="00621720">
        <w:tab/>
      </w:r>
      <w:r w:rsidR="009426AA" w:rsidRPr="00621720">
        <w:t>Statement by a representative of the United Nations Environment Programme</w:t>
      </w:r>
    </w:p>
    <w:p w14:paraId="468649E0" w14:textId="3467B91B" w:rsidR="005A07E1"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1595758F" w14:textId="69F322B4" w:rsidR="009426AA" w:rsidRPr="00621720" w:rsidRDefault="005A07E1" w:rsidP="005A07E1">
      <w:pPr>
        <w:pStyle w:val="CH2"/>
      </w:pPr>
      <w:r w:rsidRPr="00621720">
        <w:tab/>
        <w:t>C.</w:t>
      </w:r>
      <w:r w:rsidRPr="00621720">
        <w:tab/>
      </w:r>
      <w:r w:rsidR="009426AA" w:rsidRPr="00621720">
        <w:t>Statement by a representative of the Government of Rwanda</w:t>
      </w:r>
    </w:p>
    <w:p w14:paraId="137FDBE1" w14:textId="72F6EEB5" w:rsidR="005A07E1"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21CBB6CF" w14:textId="58FC684D" w:rsidR="009426AA" w:rsidRPr="00621720" w:rsidRDefault="005A07E1" w:rsidP="005A07E1">
      <w:pPr>
        <w:pStyle w:val="CH1"/>
      </w:pPr>
      <w:r w:rsidRPr="00621720">
        <w:tab/>
        <w:t>II.</w:t>
      </w:r>
      <w:r w:rsidRPr="00621720">
        <w:tab/>
      </w:r>
      <w:r w:rsidR="009426AA" w:rsidRPr="00621720">
        <w:t>Organizational matters</w:t>
      </w:r>
    </w:p>
    <w:p w14:paraId="1F30DE18" w14:textId="3C1E27F0" w:rsidR="009426AA" w:rsidRPr="00621720" w:rsidRDefault="005A07E1" w:rsidP="005A07E1">
      <w:pPr>
        <w:pStyle w:val="CH2"/>
      </w:pPr>
      <w:r w:rsidRPr="00621720">
        <w:tab/>
        <w:t>A.</w:t>
      </w:r>
      <w:r w:rsidRPr="00621720">
        <w:tab/>
      </w:r>
      <w:r w:rsidR="009426AA" w:rsidRPr="00621720">
        <w:t>Election of officers for the Thirty-Eighth Meeting of the Parties to the Montreal Protocol</w:t>
      </w:r>
    </w:p>
    <w:p w14:paraId="23533837" w14:textId="59E664D8" w:rsidR="00E755C7"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30C50FB8" w14:textId="1F3F2CB0" w:rsidR="009426AA" w:rsidRPr="00621720" w:rsidRDefault="005A07E1" w:rsidP="005A07E1">
      <w:pPr>
        <w:pStyle w:val="CH2"/>
      </w:pPr>
      <w:r w:rsidRPr="00621720">
        <w:tab/>
        <w:t>B.</w:t>
      </w:r>
      <w:r w:rsidRPr="00621720">
        <w:tab/>
      </w:r>
      <w:r w:rsidR="009426AA" w:rsidRPr="00621720">
        <w:t>Adoption of the agenda of the high-level segment</w:t>
      </w:r>
    </w:p>
    <w:p w14:paraId="6468B33F" w14:textId="77777777" w:rsidR="00E25E31" w:rsidRPr="00621720" w:rsidRDefault="00E25E31" w:rsidP="00B5137A">
      <w:pPr>
        <w:pStyle w:val="Normalnumber"/>
        <w:tabs>
          <w:tab w:val="clear" w:pos="1247"/>
          <w:tab w:val="clear" w:pos="1814"/>
          <w:tab w:val="clear" w:pos="2381"/>
          <w:tab w:val="clear" w:pos="2948"/>
          <w:tab w:val="clear" w:pos="3515"/>
          <w:tab w:val="left" w:pos="624"/>
        </w:tabs>
        <w:ind w:left="1247"/>
      </w:pPr>
      <w:r w:rsidRPr="00621720">
        <w:t>[to be completed]</w:t>
      </w:r>
    </w:p>
    <w:p w14:paraId="2DFD36AE" w14:textId="45EDE434" w:rsidR="005A07E1" w:rsidRPr="00621720" w:rsidRDefault="005A07E1" w:rsidP="005A07E1">
      <w:pPr>
        <w:pStyle w:val="CH2"/>
      </w:pPr>
      <w:r w:rsidRPr="00621720">
        <w:tab/>
        <w:t>C.</w:t>
      </w:r>
      <w:r w:rsidRPr="00621720">
        <w:tab/>
        <w:t>Organization of work</w:t>
      </w:r>
    </w:p>
    <w:p w14:paraId="6A249078" w14:textId="0718EE14" w:rsidR="00E755C7"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66278E1F" w14:textId="77777777" w:rsidR="005A07E1" w:rsidRPr="00621720" w:rsidRDefault="005A07E1" w:rsidP="005A07E1">
      <w:pPr>
        <w:pStyle w:val="CH2"/>
      </w:pPr>
      <w:r w:rsidRPr="00621720">
        <w:tab/>
        <w:t>D.</w:t>
      </w:r>
      <w:r w:rsidRPr="00621720">
        <w:tab/>
        <w:t>Credentials of representatives.</w:t>
      </w:r>
    </w:p>
    <w:p w14:paraId="37B1D76E" w14:textId="65DF8D2B" w:rsidR="009426AA"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31B4FFCC" w14:textId="07443DC0" w:rsidR="00E755C7" w:rsidRPr="00621720" w:rsidRDefault="00E755C7" w:rsidP="00E755C7">
      <w:pPr>
        <w:pStyle w:val="CH1"/>
      </w:pPr>
      <w:r w:rsidRPr="00621720">
        <w:tab/>
        <w:t>III.</w:t>
      </w:r>
      <w:r w:rsidRPr="00621720">
        <w:tab/>
        <w:t>Presentations by the assessment panels on their progress reports, including any emerging issues</w:t>
      </w:r>
    </w:p>
    <w:p w14:paraId="74A5A757" w14:textId="423AB005" w:rsidR="00E755C7"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07C5FADF" w14:textId="683DA55F" w:rsidR="00E755C7" w:rsidRPr="00621720" w:rsidRDefault="00E755C7" w:rsidP="00E755C7">
      <w:pPr>
        <w:pStyle w:val="CH1"/>
      </w:pPr>
      <w:r w:rsidRPr="00621720">
        <w:tab/>
        <w:t>IV.</w:t>
      </w:r>
      <w:r w:rsidRPr="00621720">
        <w:tab/>
        <w:t>Presentation by the Chair of the Executive Committee of the Multilateral Fund for the Implementation of the Montreal Protocol on the work of the Executive Committee, the Multilateral Fund secretariat and the Fund’s implementing agencies</w:t>
      </w:r>
    </w:p>
    <w:p w14:paraId="02D76D23" w14:textId="14199660" w:rsidR="00E755C7"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5135F49C" w14:textId="4733543E" w:rsidR="00E755C7" w:rsidRPr="00621720" w:rsidRDefault="00E755C7" w:rsidP="00E755C7">
      <w:pPr>
        <w:pStyle w:val="CH1"/>
      </w:pPr>
      <w:r w:rsidRPr="00621720">
        <w:lastRenderedPageBreak/>
        <w:tab/>
        <w:t>V.</w:t>
      </w:r>
      <w:r w:rsidRPr="00621720">
        <w:tab/>
        <w:t>Statements by heads of delegation and discussion of key topics</w:t>
      </w:r>
    </w:p>
    <w:p w14:paraId="49AB7D9E" w14:textId="4B0831BD" w:rsidR="00E755C7"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1DF5D5F9" w14:textId="5F3929FA" w:rsidR="00E755C7" w:rsidRPr="00621720" w:rsidRDefault="00E755C7" w:rsidP="00E755C7">
      <w:pPr>
        <w:pStyle w:val="CH1"/>
      </w:pPr>
      <w:r w:rsidRPr="00621720">
        <w:tab/>
        <w:t>VI.</w:t>
      </w:r>
      <w:r w:rsidRPr="00621720">
        <w:tab/>
        <w:t>Report by the co-chairs of the preparatory segment and consideration of decisions recommended for adoption by the Thirty-Eighth Meeting of the Parties</w:t>
      </w:r>
    </w:p>
    <w:p w14:paraId="64700F17" w14:textId="6F63FC9F" w:rsidR="00E755C7"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7B1E6800" w14:textId="27303DA7" w:rsidR="00E755C7" w:rsidRPr="00621720" w:rsidRDefault="00E755C7" w:rsidP="00E755C7">
      <w:pPr>
        <w:pStyle w:val="CH1"/>
      </w:pPr>
      <w:r w:rsidRPr="00621720">
        <w:tab/>
        <w:t>VII.</w:t>
      </w:r>
      <w:r w:rsidRPr="00621720">
        <w:tab/>
        <w:t>Dates and venue of the Thirty-Ninth Meeting of the Parties to the Montreal Protocol</w:t>
      </w:r>
    </w:p>
    <w:p w14:paraId="1A61477E" w14:textId="7F46C5CF" w:rsidR="00E755C7"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5888D131" w14:textId="04843F5D" w:rsidR="00E755C7" w:rsidRPr="00621720" w:rsidRDefault="00E755C7" w:rsidP="00E755C7">
      <w:pPr>
        <w:pStyle w:val="CH1"/>
      </w:pPr>
      <w:r w:rsidRPr="00621720">
        <w:tab/>
        <w:t>VIII.</w:t>
      </w:r>
      <w:r w:rsidRPr="00621720">
        <w:tab/>
        <w:t>Other matters</w:t>
      </w:r>
    </w:p>
    <w:p w14:paraId="61B0D750" w14:textId="1F5673A0" w:rsidR="00E755C7"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13CE351F" w14:textId="7F70380F" w:rsidR="00E755C7" w:rsidRPr="00621720" w:rsidRDefault="00E755C7" w:rsidP="00E755C7">
      <w:pPr>
        <w:pStyle w:val="CH1"/>
      </w:pPr>
      <w:r w:rsidRPr="00621720">
        <w:tab/>
        <w:t>IX.</w:t>
      </w:r>
      <w:r w:rsidRPr="00621720">
        <w:tab/>
        <w:t>Adoption of decisions by the Thirty-Eighth Meeting of the Parties</w:t>
      </w:r>
    </w:p>
    <w:p w14:paraId="5B554B18" w14:textId="0C791BE2" w:rsidR="00E755C7"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68D8A473" w14:textId="79333B1E" w:rsidR="00E755C7" w:rsidRPr="00621720" w:rsidRDefault="00E755C7" w:rsidP="00E755C7">
      <w:pPr>
        <w:pStyle w:val="CH1"/>
      </w:pPr>
      <w:r w:rsidRPr="00621720">
        <w:tab/>
        <w:t>X.</w:t>
      </w:r>
      <w:r w:rsidRPr="00621720">
        <w:tab/>
        <w:t>Adoption of the report of the meeting</w:t>
      </w:r>
    </w:p>
    <w:p w14:paraId="6F874C9F" w14:textId="42D8D081" w:rsidR="00E755C7"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5A29C6D6" w14:textId="0B8BC1A2" w:rsidR="00E755C7" w:rsidRPr="00621720" w:rsidRDefault="00E755C7" w:rsidP="00E755C7">
      <w:pPr>
        <w:pStyle w:val="CH1"/>
      </w:pPr>
      <w:r w:rsidRPr="00621720">
        <w:tab/>
        <w:t>XI.</w:t>
      </w:r>
      <w:r w:rsidRPr="00621720">
        <w:tab/>
        <w:t>Closure of the meeting</w:t>
      </w:r>
    </w:p>
    <w:p w14:paraId="1E687274" w14:textId="78A684E4" w:rsidR="00E755C7" w:rsidRPr="00621720" w:rsidRDefault="004B47EF" w:rsidP="00DA1CA7">
      <w:pPr>
        <w:pStyle w:val="Normalnumber"/>
        <w:tabs>
          <w:tab w:val="clear" w:pos="1247"/>
          <w:tab w:val="clear" w:pos="1814"/>
          <w:tab w:val="clear" w:pos="2381"/>
          <w:tab w:val="clear" w:pos="2948"/>
          <w:tab w:val="clear" w:pos="3515"/>
          <w:tab w:val="left" w:pos="624"/>
        </w:tabs>
        <w:ind w:left="1247"/>
      </w:pPr>
      <w:r w:rsidRPr="00621720">
        <w:t>[to be completed]</w:t>
      </w:r>
    </w:p>
    <w:p w14:paraId="546ECD15" w14:textId="77777777" w:rsidR="00DA1CA7" w:rsidRPr="00B84935" w:rsidRDefault="00DA1CA7" w:rsidP="00E71278">
      <w:pPr>
        <w:pStyle w:val="Normal-pool"/>
      </w:pPr>
    </w:p>
    <w:p w14:paraId="18F8D637" w14:textId="77777777" w:rsidR="005B2239" w:rsidRPr="00B84935" w:rsidRDefault="005B2239" w:rsidP="005B2239">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5B2239" w:rsidRPr="00B84935" w14:paraId="0A58AF3F" w14:textId="77777777">
        <w:tc>
          <w:tcPr>
            <w:tcW w:w="1897" w:type="dxa"/>
          </w:tcPr>
          <w:p w14:paraId="1D3ECDF4" w14:textId="77777777" w:rsidR="005B2239" w:rsidRPr="00B84935" w:rsidRDefault="005B2239" w:rsidP="009426AA">
            <w:pPr>
              <w:pStyle w:val="Normal-pool"/>
              <w:spacing w:before="520"/>
            </w:pPr>
          </w:p>
        </w:tc>
        <w:tc>
          <w:tcPr>
            <w:tcW w:w="1897" w:type="dxa"/>
          </w:tcPr>
          <w:p w14:paraId="0D6FD88B" w14:textId="77777777" w:rsidR="005B2239" w:rsidRPr="00B84935" w:rsidRDefault="005B2239" w:rsidP="009426AA">
            <w:pPr>
              <w:pStyle w:val="Normal-pool"/>
              <w:spacing w:before="520"/>
            </w:pPr>
          </w:p>
        </w:tc>
        <w:tc>
          <w:tcPr>
            <w:tcW w:w="1897" w:type="dxa"/>
            <w:tcBorders>
              <w:bottom w:val="single" w:sz="4" w:space="0" w:color="auto"/>
            </w:tcBorders>
          </w:tcPr>
          <w:p w14:paraId="16D30A3D" w14:textId="77777777" w:rsidR="005B2239" w:rsidRPr="00B84935" w:rsidRDefault="005B2239" w:rsidP="009426AA">
            <w:pPr>
              <w:pStyle w:val="Normal-pool"/>
              <w:spacing w:before="520"/>
            </w:pPr>
          </w:p>
        </w:tc>
        <w:tc>
          <w:tcPr>
            <w:tcW w:w="1898" w:type="dxa"/>
          </w:tcPr>
          <w:p w14:paraId="393C9369" w14:textId="77777777" w:rsidR="005B2239" w:rsidRPr="00B84935" w:rsidRDefault="005B2239" w:rsidP="009426AA">
            <w:pPr>
              <w:pStyle w:val="Normal-pool"/>
              <w:spacing w:before="520"/>
            </w:pPr>
          </w:p>
        </w:tc>
        <w:tc>
          <w:tcPr>
            <w:tcW w:w="1898" w:type="dxa"/>
          </w:tcPr>
          <w:p w14:paraId="63F00766" w14:textId="77777777" w:rsidR="005B2239" w:rsidRPr="00B84935" w:rsidRDefault="005B2239" w:rsidP="009426AA">
            <w:pPr>
              <w:pStyle w:val="Normal-pool"/>
              <w:spacing w:before="520"/>
            </w:pPr>
          </w:p>
        </w:tc>
      </w:tr>
    </w:tbl>
    <w:p w14:paraId="6FE82FE7" w14:textId="14A75B1A" w:rsidR="00F500BD" w:rsidRPr="00F500BD" w:rsidRDefault="00F500BD" w:rsidP="00F500BD">
      <w:pPr>
        <w:pStyle w:val="Normal-pool"/>
        <w:rPr>
          <w:rFonts w:eastAsiaTheme="minorEastAsia"/>
        </w:rPr>
      </w:pPr>
    </w:p>
    <w:sectPr w:rsidR="00F500BD" w:rsidRPr="00F500BD" w:rsidSect="00F500BD">
      <w:headerReference w:type="even" r:id="rId13"/>
      <w:headerReference w:type="default" r:id="rId14"/>
      <w:footerReference w:type="even" r:id="rId15"/>
      <w:footerReference w:type="default" r:id="rId16"/>
      <w:headerReference w:type="first" r:id="rId17"/>
      <w:footerReference w:type="first" r:id="rId18"/>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6C2B2" w14:textId="77777777" w:rsidR="008C6B01" w:rsidRPr="00F500BD" w:rsidRDefault="008C6B01">
      <w:r w:rsidRPr="00F500BD">
        <w:separator/>
      </w:r>
    </w:p>
  </w:endnote>
  <w:endnote w:type="continuationSeparator" w:id="0">
    <w:p w14:paraId="2F998B1F" w14:textId="77777777" w:rsidR="008C6B01" w:rsidRPr="00F500BD" w:rsidRDefault="008C6B01">
      <w:r w:rsidRPr="00F500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0DAA" w14:textId="0317BDF5" w:rsidR="007A36F8" w:rsidRPr="00F500BD" w:rsidRDefault="00F500BD" w:rsidP="00F500BD">
    <w:pPr>
      <w:pStyle w:val="Footer-pool"/>
    </w:pPr>
    <w:r w:rsidRPr="00F500BD">
      <w:rPr>
        <w:rStyle w:val="PageNumber"/>
        <w:b/>
      </w:rPr>
      <w:fldChar w:fldCharType="begin"/>
    </w:r>
    <w:r w:rsidRPr="00F500BD">
      <w:rPr>
        <w:rStyle w:val="PageNumber"/>
        <w:b/>
      </w:rPr>
      <w:instrText xml:space="preserve"> PAGE </w:instrText>
    </w:r>
    <w:r w:rsidRPr="00F500BD">
      <w:rPr>
        <w:rStyle w:val="PageNumber"/>
        <w:b/>
      </w:rPr>
      <w:fldChar w:fldCharType="separate"/>
    </w:r>
    <w:r w:rsidRPr="00F500BD">
      <w:rPr>
        <w:rStyle w:val="PageNumber"/>
        <w:b/>
        <w:noProof/>
      </w:rPr>
      <w:t>1</w:t>
    </w:r>
    <w:r w:rsidRPr="00F500BD">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1F47" w14:textId="68BCAA38" w:rsidR="007A36F8" w:rsidRPr="00E90565" w:rsidRDefault="00F500BD" w:rsidP="00F500BD">
    <w:pPr>
      <w:pStyle w:val="Footer-pool"/>
      <w:jc w:val="right"/>
      <w:rPr>
        <w:b w:val="0"/>
        <w:bCs/>
      </w:rPr>
    </w:pPr>
    <w:r w:rsidRPr="00E90565">
      <w:rPr>
        <w:rStyle w:val="PageNumber"/>
        <w:b/>
        <w:bCs/>
      </w:rPr>
      <w:fldChar w:fldCharType="begin"/>
    </w:r>
    <w:r w:rsidRPr="00E90565">
      <w:rPr>
        <w:rStyle w:val="PageNumber"/>
        <w:b/>
        <w:bCs/>
      </w:rPr>
      <w:instrText xml:space="preserve"> PAGE \* MERGEFORMAT </w:instrText>
    </w:r>
    <w:r w:rsidRPr="00E90565">
      <w:rPr>
        <w:rStyle w:val="PageNumber"/>
        <w:b/>
        <w:bCs/>
      </w:rPr>
      <w:fldChar w:fldCharType="separate"/>
    </w:r>
    <w:r w:rsidRPr="00E90565">
      <w:rPr>
        <w:rStyle w:val="PageNumber"/>
        <w:b/>
        <w:bCs/>
        <w:noProof/>
      </w:rPr>
      <w:t>1</w:t>
    </w:r>
    <w:r w:rsidRPr="00E90565">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C9D4" w14:textId="6C0EDBC6" w:rsidR="00F500BD" w:rsidRPr="005F3F88" w:rsidRDefault="005F3F88" w:rsidP="005F3F88">
    <w:pPr>
      <w:pStyle w:val="Footer-jobnumber"/>
    </w:pPr>
    <w:bookmarkStart w:id="35" w:name="FooterJobDate"/>
    <w:r>
      <w:t>UNON_DCS_261</w:t>
    </w:r>
    <w:r w:rsidR="00651492">
      <w:t>6586</w:t>
    </w:r>
    <w:r>
      <w:t>[E]</w:t>
    </w:r>
    <w:r>
      <w:tab/>
    </w:r>
    <w:r w:rsidR="00651492">
      <w:t>0511</w:t>
    </w:r>
    <w:r>
      <w:t>26</w:t>
    </w:r>
    <w:bookmarkEnd w:id="3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66F57" w14:textId="77777777" w:rsidR="008C6B01" w:rsidRPr="00F500BD" w:rsidRDefault="008C6B01" w:rsidP="00C70B49">
      <w:pPr>
        <w:pStyle w:val="Footnote-Separator"/>
        <w:rPr>
          <w:szCs w:val="18"/>
        </w:rPr>
      </w:pPr>
      <w:r w:rsidRPr="00F500BD">
        <w:separator/>
      </w:r>
    </w:p>
  </w:footnote>
  <w:footnote w:type="continuationSeparator" w:id="0">
    <w:p w14:paraId="5FF0F1F2" w14:textId="77777777" w:rsidR="008C6B01" w:rsidRPr="00F500BD" w:rsidRDefault="008C6B01" w:rsidP="00C70B49">
      <w:pPr>
        <w:pStyle w:val="Footnote-Separator"/>
      </w:pPr>
      <w:r w:rsidRPr="00F500BD">
        <w:continuationSeparator/>
      </w:r>
    </w:p>
  </w:footnote>
  <w:footnote w:type="continuationNotice" w:id="1">
    <w:p w14:paraId="4BEDB9D6" w14:textId="77777777" w:rsidR="008C6B01" w:rsidRPr="00F500BD" w:rsidRDefault="008C6B01" w:rsidP="00C70B49">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B8F34" w14:textId="20F96519" w:rsidR="007A36F8" w:rsidRPr="00F500BD" w:rsidRDefault="00872864" w:rsidP="00F500BD">
    <w:pPr>
      <w:pStyle w:val="Header-pool"/>
    </w:pPr>
    <w:r>
      <w:rPr>
        <w:noProof/>
      </w:rPr>
      <w:pict w14:anchorId="78EB8F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8560844" o:spid="_x0000_s1026" type="#_x0000_t136" style="position:absolute;margin-left:0;margin-top:0;width:520.7pt;height:148.75pt;rotation:315;z-index:-251655168;mso-position-horizontal:center;mso-position-horizontal-relative:margin;mso-position-vertical:center;mso-position-vertical-relative:margin" o:allowincell="f" fillcolor="#bfbfbf [2412]" stroked="f">
          <v:fill opacity=".5"/>
          <v:textpath style="font-family:&quot;Times New Roman&quot;;font-size:1pt" string="ADVANCE"/>
        </v:shape>
      </w:pict>
    </w:r>
    <w:r w:rsidR="00F500BD" w:rsidRPr="00F500BD">
      <w:fldChar w:fldCharType="begin"/>
    </w:r>
    <w:r w:rsidR="00F500BD" w:rsidRPr="00F500BD">
      <w:instrText xml:space="preserve"> StyleRef A_Symbol </w:instrText>
    </w:r>
    <w:r w:rsidR="00F500BD" w:rsidRPr="00F500BD">
      <w:fldChar w:fldCharType="separate"/>
    </w:r>
    <w:r w:rsidR="00B82C30">
      <w:rPr>
        <w:noProof/>
      </w:rPr>
      <w:t>UNEP/OzL.Pro.38/L.1</w:t>
    </w:r>
    <w:r w:rsidR="00F500BD" w:rsidRPr="00F500BD">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D2689" w14:textId="36E39628" w:rsidR="007A36F8" w:rsidRPr="00F500BD" w:rsidRDefault="00872864" w:rsidP="00F500BD">
    <w:pPr>
      <w:pStyle w:val="Header-pool"/>
      <w:jc w:val="right"/>
    </w:pPr>
    <w:r>
      <w:rPr>
        <w:noProof/>
      </w:rPr>
      <w:pict w14:anchorId="0B82FE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8560845" o:spid="_x0000_s1027" type="#_x0000_t136" style="position:absolute;left:0;text-align:left;margin-left:0;margin-top:0;width:520.7pt;height:148.75pt;rotation:315;z-index:-251653120;mso-position-horizontal:center;mso-position-horizontal-relative:margin;mso-position-vertical:center;mso-position-vertical-relative:margin" o:allowincell="f" fillcolor="#bfbfbf [2412]" stroked="f">
          <v:fill opacity=".5"/>
          <v:textpath style="font-family:&quot;Times New Roman&quot;;font-size:1pt" string="ADVANCE"/>
        </v:shape>
      </w:pict>
    </w:r>
    <w:r w:rsidR="00F500BD" w:rsidRPr="00F500BD">
      <w:fldChar w:fldCharType="begin"/>
    </w:r>
    <w:r w:rsidR="00F500BD" w:rsidRPr="00F500BD">
      <w:instrText xml:space="preserve"> StyleRef A_Symbol </w:instrText>
    </w:r>
    <w:r w:rsidR="00F500BD" w:rsidRPr="00F500BD">
      <w:fldChar w:fldCharType="separate"/>
    </w:r>
    <w:r w:rsidR="00B82C30">
      <w:rPr>
        <w:noProof/>
      </w:rPr>
      <w:t>UNEP/OzL.Pro.38/L.1</w:t>
    </w:r>
    <w:r w:rsidR="00F500BD" w:rsidRPr="00F500BD">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3D560" w14:textId="68D04160" w:rsidR="00872864" w:rsidRDefault="00872864" w:rsidP="00872864">
    <w:pPr>
      <w:pStyle w:val="Header"/>
      <w:pBdr>
        <w:bottom w:val="none" w:sz="0" w:space="0" w:color="auto"/>
      </w:pBdr>
    </w:pPr>
    <w:r>
      <w:rPr>
        <w:noProof/>
      </w:rPr>
      <w:pict w14:anchorId="37B2FE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8560843" o:spid="_x0000_s1025" type="#_x0000_t136" style="position:absolute;margin-left:0;margin-top:0;width:520.7pt;height:148.75pt;rotation:315;z-index:-251657216;mso-position-horizontal:center;mso-position-horizontal-relative:margin;mso-position-vertical:center;mso-position-vertical-relative:margin" o:allowincell="f" fillcolor="#bfbfbf [2412]" stroked="f">
          <v:fill opacity=".5"/>
          <v:textpath style="font-family:&quot;Times New Roman&quot;;font-size:1pt" string="ADVANC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8478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822DB0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54FC0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EE23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1866B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3C55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78F4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76D0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744C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FCC1D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F3C10CC"/>
    <w:multiLevelType w:val="hybridMultilevel"/>
    <w:tmpl w:val="D396D944"/>
    <w:lvl w:ilvl="0" w:tplc="877C1674">
      <w:start w:val="1"/>
      <w:numFmt w:val="upperLetter"/>
      <w:lvlText w:val="%1."/>
      <w:lvlJc w:val="left"/>
      <w:pPr>
        <w:ind w:left="1240" w:hanging="620"/>
      </w:pPr>
      <w:rPr>
        <w:rFonts w:hint="default"/>
      </w:rPr>
    </w:lvl>
    <w:lvl w:ilvl="1" w:tplc="08090019">
      <w:start w:val="1"/>
      <w:numFmt w:val="lowerLetter"/>
      <w:lvlText w:val="%2."/>
      <w:lvlJc w:val="left"/>
      <w:pPr>
        <w:ind w:left="1700" w:hanging="360"/>
      </w:pPr>
    </w:lvl>
    <w:lvl w:ilvl="2" w:tplc="0809001B" w:tentative="1">
      <w:start w:val="1"/>
      <w:numFmt w:val="lowerRoman"/>
      <w:lvlText w:val="%3."/>
      <w:lvlJc w:val="right"/>
      <w:pPr>
        <w:ind w:left="2420" w:hanging="180"/>
      </w:pPr>
    </w:lvl>
    <w:lvl w:ilvl="3" w:tplc="0809000F" w:tentative="1">
      <w:start w:val="1"/>
      <w:numFmt w:val="decimal"/>
      <w:lvlText w:val="%4."/>
      <w:lvlJc w:val="left"/>
      <w:pPr>
        <w:ind w:left="3140" w:hanging="360"/>
      </w:pPr>
    </w:lvl>
    <w:lvl w:ilvl="4" w:tplc="08090019" w:tentative="1">
      <w:start w:val="1"/>
      <w:numFmt w:val="lowerLetter"/>
      <w:lvlText w:val="%5."/>
      <w:lvlJc w:val="left"/>
      <w:pPr>
        <w:ind w:left="3860" w:hanging="360"/>
      </w:pPr>
    </w:lvl>
    <w:lvl w:ilvl="5" w:tplc="0809001B" w:tentative="1">
      <w:start w:val="1"/>
      <w:numFmt w:val="lowerRoman"/>
      <w:lvlText w:val="%6."/>
      <w:lvlJc w:val="right"/>
      <w:pPr>
        <w:ind w:left="4580" w:hanging="180"/>
      </w:pPr>
    </w:lvl>
    <w:lvl w:ilvl="6" w:tplc="0809000F" w:tentative="1">
      <w:start w:val="1"/>
      <w:numFmt w:val="decimal"/>
      <w:lvlText w:val="%7."/>
      <w:lvlJc w:val="left"/>
      <w:pPr>
        <w:ind w:left="5300" w:hanging="360"/>
      </w:pPr>
    </w:lvl>
    <w:lvl w:ilvl="7" w:tplc="08090019" w:tentative="1">
      <w:start w:val="1"/>
      <w:numFmt w:val="lowerLetter"/>
      <w:lvlText w:val="%8."/>
      <w:lvlJc w:val="left"/>
      <w:pPr>
        <w:ind w:left="6020" w:hanging="360"/>
      </w:pPr>
    </w:lvl>
    <w:lvl w:ilvl="8" w:tplc="0809001B" w:tentative="1">
      <w:start w:val="1"/>
      <w:numFmt w:val="lowerRoman"/>
      <w:lvlText w:val="%9."/>
      <w:lvlJc w:val="right"/>
      <w:pPr>
        <w:ind w:left="674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7CB1B8B"/>
    <w:multiLevelType w:val="hybridMultilevel"/>
    <w:tmpl w:val="2EFAB68E"/>
    <w:lvl w:ilvl="0" w:tplc="932C8F18">
      <w:start w:val="1"/>
      <w:numFmt w:val="upperLetter"/>
      <w:lvlText w:val="%1."/>
      <w:lvlJc w:val="left"/>
      <w:pPr>
        <w:ind w:left="1250" w:hanging="630"/>
      </w:pPr>
      <w:rPr>
        <w:rFonts w:hint="default"/>
      </w:rPr>
    </w:lvl>
    <w:lvl w:ilvl="1" w:tplc="20000019" w:tentative="1">
      <w:start w:val="1"/>
      <w:numFmt w:val="lowerLetter"/>
      <w:lvlText w:val="%2."/>
      <w:lvlJc w:val="left"/>
      <w:pPr>
        <w:ind w:left="1700" w:hanging="360"/>
      </w:pPr>
    </w:lvl>
    <w:lvl w:ilvl="2" w:tplc="2000001B" w:tentative="1">
      <w:start w:val="1"/>
      <w:numFmt w:val="lowerRoman"/>
      <w:lvlText w:val="%3."/>
      <w:lvlJc w:val="right"/>
      <w:pPr>
        <w:ind w:left="2420" w:hanging="180"/>
      </w:pPr>
    </w:lvl>
    <w:lvl w:ilvl="3" w:tplc="2000000F" w:tentative="1">
      <w:start w:val="1"/>
      <w:numFmt w:val="decimal"/>
      <w:lvlText w:val="%4."/>
      <w:lvlJc w:val="left"/>
      <w:pPr>
        <w:ind w:left="3140" w:hanging="360"/>
      </w:pPr>
    </w:lvl>
    <w:lvl w:ilvl="4" w:tplc="20000019" w:tentative="1">
      <w:start w:val="1"/>
      <w:numFmt w:val="lowerLetter"/>
      <w:lvlText w:val="%5."/>
      <w:lvlJc w:val="left"/>
      <w:pPr>
        <w:ind w:left="3860" w:hanging="360"/>
      </w:pPr>
    </w:lvl>
    <w:lvl w:ilvl="5" w:tplc="2000001B" w:tentative="1">
      <w:start w:val="1"/>
      <w:numFmt w:val="lowerRoman"/>
      <w:lvlText w:val="%6."/>
      <w:lvlJc w:val="right"/>
      <w:pPr>
        <w:ind w:left="4580" w:hanging="180"/>
      </w:pPr>
    </w:lvl>
    <w:lvl w:ilvl="6" w:tplc="2000000F" w:tentative="1">
      <w:start w:val="1"/>
      <w:numFmt w:val="decimal"/>
      <w:lvlText w:val="%7."/>
      <w:lvlJc w:val="left"/>
      <w:pPr>
        <w:ind w:left="5300" w:hanging="360"/>
      </w:pPr>
    </w:lvl>
    <w:lvl w:ilvl="7" w:tplc="20000019" w:tentative="1">
      <w:start w:val="1"/>
      <w:numFmt w:val="lowerLetter"/>
      <w:lvlText w:val="%8."/>
      <w:lvlJc w:val="left"/>
      <w:pPr>
        <w:ind w:left="6020" w:hanging="360"/>
      </w:pPr>
    </w:lvl>
    <w:lvl w:ilvl="8" w:tplc="2000001B" w:tentative="1">
      <w:start w:val="1"/>
      <w:numFmt w:val="lowerRoman"/>
      <w:lvlText w:val="%9."/>
      <w:lvlJc w:val="right"/>
      <w:pPr>
        <w:ind w:left="6740" w:hanging="180"/>
      </w:pPr>
    </w:lvl>
  </w:abstractNum>
  <w:abstractNum w:abstractNumId="15" w15:restartNumberingAfterBreak="0">
    <w:nsid w:val="3FB07CCA"/>
    <w:multiLevelType w:val="hybridMultilevel"/>
    <w:tmpl w:val="1354F5F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21A321F"/>
    <w:multiLevelType w:val="hybridMultilevel"/>
    <w:tmpl w:val="3A868E6E"/>
    <w:lvl w:ilvl="0" w:tplc="ACC6B0B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104256"/>
    <w:multiLevelType w:val="hybridMultilevel"/>
    <w:tmpl w:val="CE80A664"/>
    <w:lvl w:ilvl="0" w:tplc="FFFFFFFF">
      <w:start w:val="1"/>
      <w:numFmt w:val="lowerLetter"/>
      <w:lvlText w:val="(%1)"/>
      <w:lvlJc w:val="left"/>
      <w:pPr>
        <w:ind w:left="2591" w:hanging="360"/>
      </w:pPr>
      <w:rPr>
        <w:rFonts w:hint="default"/>
      </w:rPr>
    </w:lvl>
    <w:lvl w:ilvl="1" w:tplc="B95EBFE6">
      <w:start w:val="1"/>
      <w:numFmt w:val="lowerRoman"/>
      <w:lvlText w:val="(%2)"/>
      <w:lvlJc w:val="left"/>
      <w:pPr>
        <w:ind w:left="3311" w:hanging="360"/>
      </w:pPr>
      <w:rPr>
        <w:rFonts w:hint="default"/>
      </w:r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18" w15:restartNumberingAfterBreak="0">
    <w:nsid w:val="52A66A9D"/>
    <w:multiLevelType w:val="multilevel"/>
    <w:tmpl w:val="5CA6D450"/>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C142790"/>
    <w:multiLevelType w:val="hybridMultilevel"/>
    <w:tmpl w:val="42C8478E"/>
    <w:lvl w:ilvl="0" w:tplc="FFFFFFFF">
      <w:start w:val="1"/>
      <w:numFmt w:val="lowerLetter"/>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0" w15:restartNumberingAfterBreak="0">
    <w:nsid w:val="60D47054"/>
    <w:multiLevelType w:val="hybridMultilevel"/>
    <w:tmpl w:val="42C8478E"/>
    <w:lvl w:ilvl="0" w:tplc="FFFFFFFF">
      <w:start w:val="1"/>
      <w:numFmt w:val="lowerLetter"/>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1" w15:restartNumberingAfterBreak="0">
    <w:nsid w:val="62ED7916"/>
    <w:multiLevelType w:val="hybridMultilevel"/>
    <w:tmpl w:val="42C8478E"/>
    <w:lvl w:ilvl="0" w:tplc="BC602F18">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2"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 w16cid:durableId="1242644713">
    <w:abstractNumId w:val="22"/>
  </w:num>
  <w:num w:numId="3" w16cid:durableId="1933662228">
    <w:abstractNumId w:val="13"/>
  </w:num>
  <w:num w:numId="4" w16cid:durableId="1991909117">
    <w:abstractNumId w:val="10"/>
  </w:num>
  <w:num w:numId="5" w16cid:durableId="1138956019">
    <w:abstractNumId w:val="12"/>
  </w:num>
  <w:num w:numId="6" w16cid:durableId="353656638">
    <w:abstractNumId w:val="9"/>
  </w:num>
  <w:num w:numId="7" w16cid:durableId="471214438">
    <w:abstractNumId w:val="7"/>
  </w:num>
  <w:num w:numId="8" w16cid:durableId="225989711">
    <w:abstractNumId w:val="6"/>
  </w:num>
  <w:num w:numId="9" w16cid:durableId="147140651">
    <w:abstractNumId w:val="5"/>
  </w:num>
  <w:num w:numId="10" w16cid:durableId="417560220">
    <w:abstractNumId w:val="4"/>
  </w:num>
  <w:num w:numId="11" w16cid:durableId="762994850">
    <w:abstractNumId w:val="8"/>
  </w:num>
  <w:num w:numId="12" w16cid:durableId="1085804244">
    <w:abstractNumId w:val="3"/>
  </w:num>
  <w:num w:numId="13" w16cid:durableId="1241062270">
    <w:abstractNumId w:val="2"/>
  </w:num>
  <w:num w:numId="14" w16cid:durableId="1738823936">
    <w:abstractNumId w:val="1"/>
  </w:num>
  <w:num w:numId="15" w16cid:durableId="1205871737">
    <w:abstractNumId w:val="0"/>
  </w:num>
  <w:num w:numId="16" w16cid:durableId="1265454513">
    <w:abstractNumId w:val="15"/>
  </w:num>
  <w:num w:numId="17" w16cid:durableId="122580054">
    <w:abstractNumId w:val="21"/>
  </w:num>
  <w:num w:numId="18" w16cid:durableId="426849348">
    <w:abstractNumId w:val="20"/>
  </w:num>
  <w:num w:numId="19" w16cid:durableId="656768204">
    <w:abstractNumId w:val="17"/>
  </w:num>
  <w:num w:numId="20" w16cid:durableId="1916282499">
    <w:abstractNumId w:val="19"/>
  </w:num>
  <w:num w:numId="21" w16cid:durableId="593784707">
    <w:abstractNumId w:val="16"/>
  </w:num>
  <w:num w:numId="22" w16cid:durableId="2028210124">
    <w:abstractNumId w:val="14"/>
  </w:num>
  <w:num w:numId="23" w16cid:durableId="671640777">
    <w:abstractNumId w:val="18"/>
  </w:num>
  <w:num w:numId="24" w16cid:durableId="690882574">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0BD"/>
    <w:rsid w:val="000008D7"/>
    <w:rsid w:val="00000C43"/>
    <w:rsid w:val="00003139"/>
    <w:rsid w:val="00004033"/>
    <w:rsid w:val="00004503"/>
    <w:rsid w:val="000079D9"/>
    <w:rsid w:val="000149E6"/>
    <w:rsid w:val="000160E1"/>
    <w:rsid w:val="00016AF3"/>
    <w:rsid w:val="000173DC"/>
    <w:rsid w:val="00017757"/>
    <w:rsid w:val="000208C8"/>
    <w:rsid w:val="000225BC"/>
    <w:rsid w:val="00023984"/>
    <w:rsid w:val="000247B0"/>
    <w:rsid w:val="00025E9A"/>
    <w:rsid w:val="00026997"/>
    <w:rsid w:val="00033523"/>
    <w:rsid w:val="00033E0B"/>
    <w:rsid w:val="00035EDE"/>
    <w:rsid w:val="00036859"/>
    <w:rsid w:val="000410B1"/>
    <w:rsid w:val="000418C5"/>
    <w:rsid w:val="000509B4"/>
    <w:rsid w:val="0005463A"/>
    <w:rsid w:val="000547C7"/>
    <w:rsid w:val="00055654"/>
    <w:rsid w:val="00056B2C"/>
    <w:rsid w:val="0006035B"/>
    <w:rsid w:val="000656AF"/>
    <w:rsid w:val="0006642D"/>
    <w:rsid w:val="000666F6"/>
    <w:rsid w:val="0007166E"/>
    <w:rsid w:val="00071886"/>
    <w:rsid w:val="000742BC"/>
    <w:rsid w:val="0008041D"/>
    <w:rsid w:val="00082A0C"/>
    <w:rsid w:val="00082DCD"/>
    <w:rsid w:val="00083504"/>
    <w:rsid w:val="00086A15"/>
    <w:rsid w:val="0008710B"/>
    <w:rsid w:val="000950FD"/>
    <w:rsid w:val="00095F40"/>
    <w:rsid w:val="0009640C"/>
    <w:rsid w:val="000975A7"/>
    <w:rsid w:val="000A4EBF"/>
    <w:rsid w:val="000A5C27"/>
    <w:rsid w:val="000A687C"/>
    <w:rsid w:val="000A705F"/>
    <w:rsid w:val="000A7D2D"/>
    <w:rsid w:val="000B21D5"/>
    <w:rsid w:val="000B22A2"/>
    <w:rsid w:val="000B33FD"/>
    <w:rsid w:val="000B4707"/>
    <w:rsid w:val="000C1EE6"/>
    <w:rsid w:val="000C2A52"/>
    <w:rsid w:val="000C2B7E"/>
    <w:rsid w:val="000C46A9"/>
    <w:rsid w:val="000C4C4A"/>
    <w:rsid w:val="000C5A74"/>
    <w:rsid w:val="000D2A5A"/>
    <w:rsid w:val="000D30F5"/>
    <w:rsid w:val="000D33C0"/>
    <w:rsid w:val="000D3597"/>
    <w:rsid w:val="000D5884"/>
    <w:rsid w:val="000D637E"/>
    <w:rsid w:val="000D6941"/>
    <w:rsid w:val="000D6FD5"/>
    <w:rsid w:val="000D71B6"/>
    <w:rsid w:val="000E0405"/>
    <w:rsid w:val="000E0852"/>
    <w:rsid w:val="000E2220"/>
    <w:rsid w:val="000E5F33"/>
    <w:rsid w:val="000F12E0"/>
    <w:rsid w:val="000F35BD"/>
    <w:rsid w:val="000F465A"/>
    <w:rsid w:val="000F6CFF"/>
    <w:rsid w:val="00112BB0"/>
    <w:rsid w:val="00112DC5"/>
    <w:rsid w:val="00115F73"/>
    <w:rsid w:val="00115FE2"/>
    <w:rsid w:val="00117AA1"/>
    <w:rsid w:val="00120299"/>
    <w:rsid w:val="001202E3"/>
    <w:rsid w:val="00123699"/>
    <w:rsid w:val="00123AAB"/>
    <w:rsid w:val="00126617"/>
    <w:rsid w:val="00127D4D"/>
    <w:rsid w:val="0013059D"/>
    <w:rsid w:val="00131D25"/>
    <w:rsid w:val="00133727"/>
    <w:rsid w:val="001341C0"/>
    <w:rsid w:val="00140217"/>
    <w:rsid w:val="0014083A"/>
    <w:rsid w:val="00141A55"/>
    <w:rsid w:val="00141F2F"/>
    <w:rsid w:val="001446A3"/>
    <w:rsid w:val="00145EDA"/>
    <w:rsid w:val="001465EE"/>
    <w:rsid w:val="0015068A"/>
    <w:rsid w:val="001522AC"/>
    <w:rsid w:val="0015424E"/>
    <w:rsid w:val="0015472A"/>
    <w:rsid w:val="00155395"/>
    <w:rsid w:val="00155745"/>
    <w:rsid w:val="00156EFD"/>
    <w:rsid w:val="0016006E"/>
    <w:rsid w:val="00160F56"/>
    <w:rsid w:val="00165785"/>
    <w:rsid w:val="00166E36"/>
    <w:rsid w:val="00172E6C"/>
    <w:rsid w:val="00173D27"/>
    <w:rsid w:val="0017422C"/>
    <w:rsid w:val="00174739"/>
    <w:rsid w:val="00174760"/>
    <w:rsid w:val="00174997"/>
    <w:rsid w:val="00180D0C"/>
    <w:rsid w:val="0018127C"/>
    <w:rsid w:val="00181EC8"/>
    <w:rsid w:val="00181FC0"/>
    <w:rsid w:val="001838E9"/>
    <w:rsid w:val="00184349"/>
    <w:rsid w:val="00186CF0"/>
    <w:rsid w:val="001908F0"/>
    <w:rsid w:val="0019161E"/>
    <w:rsid w:val="00194D7E"/>
    <w:rsid w:val="00194FEB"/>
    <w:rsid w:val="00195D1D"/>
    <w:rsid w:val="00195F33"/>
    <w:rsid w:val="00197C63"/>
    <w:rsid w:val="001A30F1"/>
    <w:rsid w:val="001A3125"/>
    <w:rsid w:val="001A5EE1"/>
    <w:rsid w:val="001A7FF9"/>
    <w:rsid w:val="001B1617"/>
    <w:rsid w:val="001B267A"/>
    <w:rsid w:val="001B504B"/>
    <w:rsid w:val="001B7BD4"/>
    <w:rsid w:val="001C1285"/>
    <w:rsid w:val="001C29FC"/>
    <w:rsid w:val="001C33F9"/>
    <w:rsid w:val="001C4042"/>
    <w:rsid w:val="001C4965"/>
    <w:rsid w:val="001D099A"/>
    <w:rsid w:val="001D1245"/>
    <w:rsid w:val="001D1BED"/>
    <w:rsid w:val="001D293E"/>
    <w:rsid w:val="001D35A1"/>
    <w:rsid w:val="001D3874"/>
    <w:rsid w:val="001D445B"/>
    <w:rsid w:val="001D5344"/>
    <w:rsid w:val="001D7E75"/>
    <w:rsid w:val="001E0F78"/>
    <w:rsid w:val="001E22D1"/>
    <w:rsid w:val="001E237B"/>
    <w:rsid w:val="001E56D2"/>
    <w:rsid w:val="001E7D56"/>
    <w:rsid w:val="001F6CCA"/>
    <w:rsid w:val="001F75DE"/>
    <w:rsid w:val="00200BE7"/>
    <w:rsid w:val="00200D58"/>
    <w:rsid w:val="002013BE"/>
    <w:rsid w:val="0020286A"/>
    <w:rsid w:val="00204E84"/>
    <w:rsid w:val="0020600A"/>
    <w:rsid w:val="002063A4"/>
    <w:rsid w:val="00206F97"/>
    <w:rsid w:val="0021145B"/>
    <w:rsid w:val="00214277"/>
    <w:rsid w:val="0021505A"/>
    <w:rsid w:val="002166FE"/>
    <w:rsid w:val="002201A5"/>
    <w:rsid w:val="002203C2"/>
    <w:rsid w:val="00225CA0"/>
    <w:rsid w:val="0022762D"/>
    <w:rsid w:val="00232303"/>
    <w:rsid w:val="00234806"/>
    <w:rsid w:val="002378D6"/>
    <w:rsid w:val="00243D36"/>
    <w:rsid w:val="00244FEF"/>
    <w:rsid w:val="00247707"/>
    <w:rsid w:val="00247979"/>
    <w:rsid w:val="00260277"/>
    <w:rsid w:val="002613B2"/>
    <w:rsid w:val="00263171"/>
    <w:rsid w:val="00271B0E"/>
    <w:rsid w:val="00272651"/>
    <w:rsid w:val="00272746"/>
    <w:rsid w:val="0027333F"/>
    <w:rsid w:val="002743F7"/>
    <w:rsid w:val="0027594D"/>
    <w:rsid w:val="00276C69"/>
    <w:rsid w:val="00277919"/>
    <w:rsid w:val="00285A91"/>
    <w:rsid w:val="00286740"/>
    <w:rsid w:val="00287B42"/>
    <w:rsid w:val="00291C65"/>
    <w:rsid w:val="002929D8"/>
    <w:rsid w:val="00292A0F"/>
    <w:rsid w:val="00292E5C"/>
    <w:rsid w:val="002935C2"/>
    <w:rsid w:val="00295984"/>
    <w:rsid w:val="00296864"/>
    <w:rsid w:val="002A00E8"/>
    <w:rsid w:val="002A237D"/>
    <w:rsid w:val="002A4C53"/>
    <w:rsid w:val="002A7FE6"/>
    <w:rsid w:val="002B0672"/>
    <w:rsid w:val="002B1B4C"/>
    <w:rsid w:val="002B247F"/>
    <w:rsid w:val="002C145D"/>
    <w:rsid w:val="002C1675"/>
    <w:rsid w:val="002C2C3E"/>
    <w:rsid w:val="002C3B26"/>
    <w:rsid w:val="002C533E"/>
    <w:rsid w:val="002C5525"/>
    <w:rsid w:val="002C6F25"/>
    <w:rsid w:val="002D027F"/>
    <w:rsid w:val="002D6F7B"/>
    <w:rsid w:val="002D7775"/>
    <w:rsid w:val="002D7A85"/>
    <w:rsid w:val="002D7B60"/>
    <w:rsid w:val="002E19D4"/>
    <w:rsid w:val="002E555E"/>
    <w:rsid w:val="002E55EC"/>
    <w:rsid w:val="002F0362"/>
    <w:rsid w:val="002F2464"/>
    <w:rsid w:val="002F4761"/>
    <w:rsid w:val="002F4D83"/>
    <w:rsid w:val="002F5C79"/>
    <w:rsid w:val="003006FE"/>
    <w:rsid w:val="003019E2"/>
    <w:rsid w:val="00303032"/>
    <w:rsid w:val="003045B9"/>
    <w:rsid w:val="00305861"/>
    <w:rsid w:val="003105CE"/>
    <w:rsid w:val="0031413F"/>
    <w:rsid w:val="003146D3"/>
    <w:rsid w:val="003148BB"/>
    <w:rsid w:val="0031590C"/>
    <w:rsid w:val="00317976"/>
    <w:rsid w:val="00323885"/>
    <w:rsid w:val="00323B69"/>
    <w:rsid w:val="00326F29"/>
    <w:rsid w:val="00331475"/>
    <w:rsid w:val="00332492"/>
    <w:rsid w:val="00333E85"/>
    <w:rsid w:val="003402A5"/>
    <w:rsid w:val="00340585"/>
    <w:rsid w:val="00347D88"/>
    <w:rsid w:val="00351A93"/>
    <w:rsid w:val="00351EDD"/>
    <w:rsid w:val="0035366B"/>
    <w:rsid w:val="00353903"/>
    <w:rsid w:val="00355EA9"/>
    <w:rsid w:val="003578DE"/>
    <w:rsid w:val="00361903"/>
    <w:rsid w:val="00365F6B"/>
    <w:rsid w:val="00367573"/>
    <w:rsid w:val="00370BF9"/>
    <w:rsid w:val="00371340"/>
    <w:rsid w:val="00371E6C"/>
    <w:rsid w:val="00372445"/>
    <w:rsid w:val="003724E8"/>
    <w:rsid w:val="003731EF"/>
    <w:rsid w:val="003759E2"/>
    <w:rsid w:val="00381E4A"/>
    <w:rsid w:val="003830AC"/>
    <w:rsid w:val="003867C3"/>
    <w:rsid w:val="00386999"/>
    <w:rsid w:val="00387808"/>
    <w:rsid w:val="00390145"/>
    <w:rsid w:val="00394379"/>
    <w:rsid w:val="00394C40"/>
    <w:rsid w:val="003952B6"/>
    <w:rsid w:val="00396257"/>
    <w:rsid w:val="00397DEA"/>
    <w:rsid w:val="00397EB8"/>
    <w:rsid w:val="003A0286"/>
    <w:rsid w:val="003A07AB"/>
    <w:rsid w:val="003A07D9"/>
    <w:rsid w:val="003A086E"/>
    <w:rsid w:val="003A37B8"/>
    <w:rsid w:val="003A41B8"/>
    <w:rsid w:val="003A4FD0"/>
    <w:rsid w:val="003A69D1"/>
    <w:rsid w:val="003A6FAA"/>
    <w:rsid w:val="003A7705"/>
    <w:rsid w:val="003B0808"/>
    <w:rsid w:val="003B0A5F"/>
    <w:rsid w:val="003B1545"/>
    <w:rsid w:val="003B5708"/>
    <w:rsid w:val="003C035E"/>
    <w:rsid w:val="003C3267"/>
    <w:rsid w:val="003C409D"/>
    <w:rsid w:val="003C46E0"/>
    <w:rsid w:val="003C5BA6"/>
    <w:rsid w:val="003D1C75"/>
    <w:rsid w:val="003D514F"/>
    <w:rsid w:val="003D5523"/>
    <w:rsid w:val="003D57B6"/>
    <w:rsid w:val="003D6FFE"/>
    <w:rsid w:val="003E57A9"/>
    <w:rsid w:val="003E6DAD"/>
    <w:rsid w:val="003F0E85"/>
    <w:rsid w:val="003F3842"/>
    <w:rsid w:val="003F5260"/>
    <w:rsid w:val="004006DB"/>
    <w:rsid w:val="00400F55"/>
    <w:rsid w:val="00402920"/>
    <w:rsid w:val="00404CB5"/>
    <w:rsid w:val="00405251"/>
    <w:rsid w:val="00406EB2"/>
    <w:rsid w:val="00410502"/>
    <w:rsid w:val="00410C55"/>
    <w:rsid w:val="00413299"/>
    <w:rsid w:val="004159CA"/>
    <w:rsid w:val="0041604D"/>
    <w:rsid w:val="00416854"/>
    <w:rsid w:val="00417725"/>
    <w:rsid w:val="0041779A"/>
    <w:rsid w:val="00417A6F"/>
    <w:rsid w:val="00417B99"/>
    <w:rsid w:val="004243EA"/>
    <w:rsid w:val="00425C64"/>
    <w:rsid w:val="004267F9"/>
    <w:rsid w:val="00427761"/>
    <w:rsid w:val="00432660"/>
    <w:rsid w:val="0043539F"/>
    <w:rsid w:val="00437F26"/>
    <w:rsid w:val="004418CD"/>
    <w:rsid w:val="00441BE3"/>
    <w:rsid w:val="0044224F"/>
    <w:rsid w:val="00442CB7"/>
    <w:rsid w:val="00444097"/>
    <w:rsid w:val="00444D04"/>
    <w:rsid w:val="00445487"/>
    <w:rsid w:val="00445CDA"/>
    <w:rsid w:val="004460BB"/>
    <w:rsid w:val="004506CB"/>
    <w:rsid w:val="004544E5"/>
    <w:rsid w:val="00454769"/>
    <w:rsid w:val="00454F39"/>
    <w:rsid w:val="00455200"/>
    <w:rsid w:val="00455D61"/>
    <w:rsid w:val="00456D58"/>
    <w:rsid w:val="00466991"/>
    <w:rsid w:val="0047064C"/>
    <w:rsid w:val="00472C45"/>
    <w:rsid w:val="00473D64"/>
    <w:rsid w:val="00474D90"/>
    <w:rsid w:val="00477AFF"/>
    <w:rsid w:val="00481F0B"/>
    <w:rsid w:val="0048220A"/>
    <w:rsid w:val="0048706C"/>
    <w:rsid w:val="00487106"/>
    <w:rsid w:val="00490958"/>
    <w:rsid w:val="004919EE"/>
    <w:rsid w:val="0049495F"/>
    <w:rsid w:val="00495BFE"/>
    <w:rsid w:val="004A42E1"/>
    <w:rsid w:val="004A4E7C"/>
    <w:rsid w:val="004A557F"/>
    <w:rsid w:val="004B162C"/>
    <w:rsid w:val="004B47EF"/>
    <w:rsid w:val="004B6252"/>
    <w:rsid w:val="004C061D"/>
    <w:rsid w:val="004C380A"/>
    <w:rsid w:val="004C3DBE"/>
    <w:rsid w:val="004C40A4"/>
    <w:rsid w:val="004C5C96"/>
    <w:rsid w:val="004C68FC"/>
    <w:rsid w:val="004C6994"/>
    <w:rsid w:val="004C7E98"/>
    <w:rsid w:val="004D05F7"/>
    <w:rsid w:val="004D06A4"/>
    <w:rsid w:val="004D088C"/>
    <w:rsid w:val="004D2C74"/>
    <w:rsid w:val="004D5098"/>
    <w:rsid w:val="004D60EA"/>
    <w:rsid w:val="004D628E"/>
    <w:rsid w:val="004D79D4"/>
    <w:rsid w:val="004D7C59"/>
    <w:rsid w:val="004E4BDD"/>
    <w:rsid w:val="004E5978"/>
    <w:rsid w:val="004E59D4"/>
    <w:rsid w:val="004E79AC"/>
    <w:rsid w:val="004E7EAD"/>
    <w:rsid w:val="004F1A81"/>
    <w:rsid w:val="004F2DF7"/>
    <w:rsid w:val="004F3BDF"/>
    <w:rsid w:val="00500B03"/>
    <w:rsid w:val="00506AE7"/>
    <w:rsid w:val="00512697"/>
    <w:rsid w:val="00513CA4"/>
    <w:rsid w:val="0051568A"/>
    <w:rsid w:val="00516DC9"/>
    <w:rsid w:val="005174D4"/>
    <w:rsid w:val="0051750F"/>
    <w:rsid w:val="005176A2"/>
    <w:rsid w:val="00520802"/>
    <w:rsid w:val="005218D9"/>
    <w:rsid w:val="00523E3C"/>
    <w:rsid w:val="00532E47"/>
    <w:rsid w:val="00533597"/>
    <w:rsid w:val="005341CE"/>
    <w:rsid w:val="0053481D"/>
    <w:rsid w:val="00536186"/>
    <w:rsid w:val="00536826"/>
    <w:rsid w:val="00542C49"/>
    <w:rsid w:val="0054310E"/>
    <w:rsid w:val="00544CBB"/>
    <w:rsid w:val="00545624"/>
    <w:rsid w:val="00550518"/>
    <w:rsid w:val="005511A3"/>
    <w:rsid w:val="005529D3"/>
    <w:rsid w:val="00552CD6"/>
    <w:rsid w:val="00555030"/>
    <w:rsid w:val="005567F0"/>
    <w:rsid w:val="0056128E"/>
    <w:rsid w:val="005639E3"/>
    <w:rsid w:val="00564A1E"/>
    <w:rsid w:val="00564CAD"/>
    <w:rsid w:val="00567B0E"/>
    <w:rsid w:val="0057315F"/>
    <w:rsid w:val="00575DF1"/>
    <w:rsid w:val="00576104"/>
    <w:rsid w:val="00576EAA"/>
    <w:rsid w:val="005862E8"/>
    <w:rsid w:val="0058689A"/>
    <w:rsid w:val="00593CF5"/>
    <w:rsid w:val="005940BC"/>
    <w:rsid w:val="00594430"/>
    <w:rsid w:val="005944D8"/>
    <w:rsid w:val="00594BA0"/>
    <w:rsid w:val="00597307"/>
    <w:rsid w:val="005A07E1"/>
    <w:rsid w:val="005A1448"/>
    <w:rsid w:val="005A18D2"/>
    <w:rsid w:val="005A27CB"/>
    <w:rsid w:val="005A6657"/>
    <w:rsid w:val="005B1563"/>
    <w:rsid w:val="005B203F"/>
    <w:rsid w:val="005B2239"/>
    <w:rsid w:val="005B53B5"/>
    <w:rsid w:val="005B7726"/>
    <w:rsid w:val="005C0A4F"/>
    <w:rsid w:val="005C0F46"/>
    <w:rsid w:val="005C67C8"/>
    <w:rsid w:val="005C7C2E"/>
    <w:rsid w:val="005D0249"/>
    <w:rsid w:val="005D02D2"/>
    <w:rsid w:val="005D2DD2"/>
    <w:rsid w:val="005D3700"/>
    <w:rsid w:val="005D3A53"/>
    <w:rsid w:val="005D3E52"/>
    <w:rsid w:val="005D6E8C"/>
    <w:rsid w:val="005E081D"/>
    <w:rsid w:val="005E4F15"/>
    <w:rsid w:val="005E766B"/>
    <w:rsid w:val="005F100C"/>
    <w:rsid w:val="005F3F88"/>
    <w:rsid w:val="005F4251"/>
    <w:rsid w:val="005F68DA"/>
    <w:rsid w:val="005F75E6"/>
    <w:rsid w:val="005F7D5B"/>
    <w:rsid w:val="006014DD"/>
    <w:rsid w:val="00603603"/>
    <w:rsid w:val="00603F74"/>
    <w:rsid w:val="00606A8A"/>
    <w:rsid w:val="00606D25"/>
    <w:rsid w:val="0060773B"/>
    <w:rsid w:val="00607D94"/>
    <w:rsid w:val="006128B4"/>
    <w:rsid w:val="00612A3D"/>
    <w:rsid w:val="0061366B"/>
    <w:rsid w:val="006157B5"/>
    <w:rsid w:val="00616DBC"/>
    <w:rsid w:val="00617BCE"/>
    <w:rsid w:val="00621720"/>
    <w:rsid w:val="006237A7"/>
    <w:rsid w:val="006268B2"/>
    <w:rsid w:val="00626FC6"/>
    <w:rsid w:val="006303B4"/>
    <w:rsid w:val="0063306F"/>
    <w:rsid w:val="00633AC8"/>
    <w:rsid w:val="00633CEB"/>
    <w:rsid w:val="00633D3D"/>
    <w:rsid w:val="00633F3A"/>
    <w:rsid w:val="00641703"/>
    <w:rsid w:val="006431A6"/>
    <w:rsid w:val="0064464E"/>
    <w:rsid w:val="00644BDA"/>
    <w:rsid w:val="006459F6"/>
    <w:rsid w:val="006501AD"/>
    <w:rsid w:val="00651492"/>
    <w:rsid w:val="00651BFA"/>
    <w:rsid w:val="006533B3"/>
    <w:rsid w:val="006544FF"/>
    <w:rsid w:val="006622CE"/>
    <w:rsid w:val="00663354"/>
    <w:rsid w:val="00663A80"/>
    <w:rsid w:val="00665A4B"/>
    <w:rsid w:val="00665F47"/>
    <w:rsid w:val="00670667"/>
    <w:rsid w:val="00671531"/>
    <w:rsid w:val="0067205E"/>
    <w:rsid w:val="00672872"/>
    <w:rsid w:val="00672BBC"/>
    <w:rsid w:val="006731FE"/>
    <w:rsid w:val="006775D0"/>
    <w:rsid w:val="00685B9A"/>
    <w:rsid w:val="0068602F"/>
    <w:rsid w:val="006877A0"/>
    <w:rsid w:val="00692E2A"/>
    <w:rsid w:val="006A1021"/>
    <w:rsid w:val="006A3C07"/>
    <w:rsid w:val="006A76F2"/>
    <w:rsid w:val="006A77FA"/>
    <w:rsid w:val="006B3EC2"/>
    <w:rsid w:val="006B4C75"/>
    <w:rsid w:val="006B5AB4"/>
    <w:rsid w:val="006C07D8"/>
    <w:rsid w:val="006C3DDA"/>
    <w:rsid w:val="006C4DBD"/>
    <w:rsid w:val="006C54E0"/>
    <w:rsid w:val="006C697B"/>
    <w:rsid w:val="006D3277"/>
    <w:rsid w:val="006D3810"/>
    <w:rsid w:val="006D6333"/>
    <w:rsid w:val="006D7EFB"/>
    <w:rsid w:val="006E0477"/>
    <w:rsid w:val="006E2002"/>
    <w:rsid w:val="006E3940"/>
    <w:rsid w:val="006E4534"/>
    <w:rsid w:val="006E6672"/>
    <w:rsid w:val="006E6722"/>
    <w:rsid w:val="006E78FD"/>
    <w:rsid w:val="006F108C"/>
    <w:rsid w:val="006F10F1"/>
    <w:rsid w:val="006F3126"/>
    <w:rsid w:val="006F365E"/>
    <w:rsid w:val="006F589E"/>
    <w:rsid w:val="006F7831"/>
    <w:rsid w:val="00700138"/>
    <w:rsid w:val="007007AB"/>
    <w:rsid w:val="007027B9"/>
    <w:rsid w:val="007038C2"/>
    <w:rsid w:val="007053DE"/>
    <w:rsid w:val="007116F4"/>
    <w:rsid w:val="00713D8F"/>
    <w:rsid w:val="00715E88"/>
    <w:rsid w:val="00717624"/>
    <w:rsid w:val="007208C8"/>
    <w:rsid w:val="00721107"/>
    <w:rsid w:val="00723748"/>
    <w:rsid w:val="00724BC4"/>
    <w:rsid w:val="0072508B"/>
    <w:rsid w:val="00725DF6"/>
    <w:rsid w:val="00732009"/>
    <w:rsid w:val="00732257"/>
    <w:rsid w:val="00734AAF"/>
    <w:rsid w:val="00734CAA"/>
    <w:rsid w:val="007360E5"/>
    <w:rsid w:val="007363C5"/>
    <w:rsid w:val="00736493"/>
    <w:rsid w:val="00736583"/>
    <w:rsid w:val="00740CDC"/>
    <w:rsid w:val="00747631"/>
    <w:rsid w:val="0075063E"/>
    <w:rsid w:val="00751C31"/>
    <w:rsid w:val="007538BB"/>
    <w:rsid w:val="0075473A"/>
    <w:rsid w:val="00755106"/>
    <w:rsid w:val="0075533C"/>
    <w:rsid w:val="0075568B"/>
    <w:rsid w:val="00755749"/>
    <w:rsid w:val="007558A9"/>
    <w:rsid w:val="00757581"/>
    <w:rsid w:val="00757FB3"/>
    <w:rsid w:val="0076023E"/>
    <w:rsid w:val="00761102"/>
    <w:rsid w:val="007611A0"/>
    <w:rsid w:val="00763338"/>
    <w:rsid w:val="007658A0"/>
    <w:rsid w:val="007658AC"/>
    <w:rsid w:val="007667D0"/>
    <w:rsid w:val="00771992"/>
    <w:rsid w:val="007733B0"/>
    <w:rsid w:val="00776149"/>
    <w:rsid w:val="00777670"/>
    <w:rsid w:val="00783089"/>
    <w:rsid w:val="007838E5"/>
    <w:rsid w:val="00783907"/>
    <w:rsid w:val="007840EC"/>
    <w:rsid w:val="007853FC"/>
    <w:rsid w:val="00786D4C"/>
    <w:rsid w:val="00790CBC"/>
    <w:rsid w:val="00794BA2"/>
    <w:rsid w:val="00796270"/>
    <w:rsid w:val="00796D3F"/>
    <w:rsid w:val="007A02C0"/>
    <w:rsid w:val="007A1683"/>
    <w:rsid w:val="007A2959"/>
    <w:rsid w:val="007A2E96"/>
    <w:rsid w:val="007A3631"/>
    <w:rsid w:val="007A36F8"/>
    <w:rsid w:val="007A5966"/>
    <w:rsid w:val="007A5C12"/>
    <w:rsid w:val="007A72DF"/>
    <w:rsid w:val="007A7CB0"/>
    <w:rsid w:val="007B0AA1"/>
    <w:rsid w:val="007B0F35"/>
    <w:rsid w:val="007B17A4"/>
    <w:rsid w:val="007B1FCC"/>
    <w:rsid w:val="007B68A3"/>
    <w:rsid w:val="007C0DA8"/>
    <w:rsid w:val="007C2541"/>
    <w:rsid w:val="007C5092"/>
    <w:rsid w:val="007D02C9"/>
    <w:rsid w:val="007D5352"/>
    <w:rsid w:val="007D5605"/>
    <w:rsid w:val="007D66A8"/>
    <w:rsid w:val="007D773D"/>
    <w:rsid w:val="007D7A42"/>
    <w:rsid w:val="007E003F"/>
    <w:rsid w:val="007E0BFF"/>
    <w:rsid w:val="007E2384"/>
    <w:rsid w:val="007F1C0A"/>
    <w:rsid w:val="007F3907"/>
    <w:rsid w:val="007F630A"/>
    <w:rsid w:val="0080269A"/>
    <w:rsid w:val="00802E72"/>
    <w:rsid w:val="00804553"/>
    <w:rsid w:val="00805C10"/>
    <w:rsid w:val="00805F1D"/>
    <w:rsid w:val="00807121"/>
    <w:rsid w:val="00811C5B"/>
    <w:rsid w:val="00811D59"/>
    <w:rsid w:val="008138A7"/>
    <w:rsid w:val="0081544C"/>
    <w:rsid w:val="008157B2"/>
    <w:rsid w:val="008164F2"/>
    <w:rsid w:val="00821395"/>
    <w:rsid w:val="00821704"/>
    <w:rsid w:val="00823F1E"/>
    <w:rsid w:val="008271DD"/>
    <w:rsid w:val="00830761"/>
    <w:rsid w:val="00830E26"/>
    <w:rsid w:val="00831FFA"/>
    <w:rsid w:val="008348D3"/>
    <w:rsid w:val="00835347"/>
    <w:rsid w:val="00837BBD"/>
    <w:rsid w:val="0084035F"/>
    <w:rsid w:val="00843576"/>
    <w:rsid w:val="00843B64"/>
    <w:rsid w:val="00845B36"/>
    <w:rsid w:val="008465D5"/>
    <w:rsid w:val="008470BD"/>
    <w:rsid w:val="008478FC"/>
    <w:rsid w:val="00850873"/>
    <w:rsid w:val="008537D8"/>
    <w:rsid w:val="00854A7A"/>
    <w:rsid w:val="00867BFF"/>
    <w:rsid w:val="00872864"/>
    <w:rsid w:val="0087738A"/>
    <w:rsid w:val="0087746E"/>
    <w:rsid w:val="008811B1"/>
    <w:rsid w:val="00881BBE"/>
    <w:rsid w:val="00883236"/>
    <w:rsid w:val="008833AB"/>
    <w:rsid w:val="008847E8"/>
    <w:rsid w:val="0088480A"/>
    <w:rsid w:val="00886230"/>
    <w:rsid w:val="0088680D"/>
    <w:rsid w:val="00886A00"/>
    <w:rsid w:val="008874F4"/>
    <w:rsid w:val="0088757A"/>
    <w:rsid w:val="00890D83"/>
    <w:rsid w:val="008920D9"/>
    <w:rsid w:val="00892128"/>
    <w:rsid w:val="008937CF"/>
    <w:rsid w:val="008957DD"/>
    <w:rsid w:val="00897D98"/>
    <w:rsid w:val="008A05A5"/>
    <w:rsid w:val="008A26B4"/>
    <w:rsid w:val="008A2C42"/>
    <w:rsid w:val="008A2D9F"/>
    <w:rsid w:val="008A4645"/>
    <w:rsid w:val="008A654A"/>
    <w:rsid w:val="008A6683"/>
    <w:rsid w:val="008A6C41"/>
    <w:rsid w:val="008A6DF2"/>
    <w:rsid w:val="008A7807"/>
    <w:rsid w:val="008B0CE9"/>
    <w:rsid w:val="008B0D6B"/>
    <w:rsid w:val="008B2F48"/>
    <w:rsid w:val="008B3832"/>
    <w:rsid w:val="008B4CC9"/>
    <w:rsid w:val="008B5887"/>
    <w:rsid w:val="008B672B"/>
    <w:rsid w:val="008B7EE1"/>
    <w:rsid w:val="008C13F0"/>
    <w:rsid w:val="008C1B8B"/>
    <w:rsid w:val="008C26D8"/>
    <w:rsid w:val="008C3C3F"/>
    <w:rsid w:val="008C47A8"/>
    <w:rsid w:val="008C6B01"/>
    <w:rsid w:val="008D3AE0"/>
    <w:rsid w:val="008D63BB"/>
    <w:rsid w:val="008D66EE"/>
    <w:rsid w:val="008D7C99"/>
    <w:rsid w:val="008E0FCB"/>
    <w:rsid w:val="008E52C3"/>
    <w:rsid w:val="008E76EF"/>
    <w:rsid w:val="008E7FB0"/>
    <w:rsid w:val="008F29B5"/>
    <w:rsid w:val="008F388D"/>
    <w:rsid w:val="00900703"/>
    <w:rsid w:val="00901B0C"/>
    <w:rsid w:val="00907D78"/>
    <w:rsid w:val="009113EB"/>
    <w:rsid w:val="00911D70"/>
    <w:rsid w:val="00913BF3"/>
    <w:rsid w:val="00914290"/>
    <w:rsid w:val="009143C9"/>
    <w:rsid w:val="00914FD1"/>
    <w:rsid w:val="0091514E"/>
    <w:rsid w:val="00920435"/>
    <w:rsid w:val="0092178C"/>
    <w:rsid w:val="00922699"/>
    <w:rsid w:val="00924787"/>
    <w:rsid w:val="0092493F"/>
    <w:rsid w:val="00925159"/>
    <w:rsid w:val="00925E17"/>
    <w:rsid w:val="00926300"/>
    <w:rsid w:val="009267A5"/>
    <w:rsid w:val="00930B88"/>
    <w:rsid w:val="00930F35"/>
    <w:rsid w:val="00931B3C"/>
    <w:rsid w:val="00932585"/>
    <w:rsid w:val="00936A55"/>
    <w:rsid w:val="009378DC"/>
    <w:rsid w:val="009400D9"/>
    <w:rsid w:val="00940D6D"/>
    <w:rsid w:val="00940DCC"/>
    <w:rsid w:val="0094179A"/>
    <w:rsid w:val="009426AA"/>
    <w:rsid w:val="009438C6"/>
    <w:rsid w:val="0094459E"/>
    <w:rsid w:val="00944DBC"/>
    <w:rsid w:val="00945E81"/>
    <w:rsid w:val="00947BD6"/>
    <w:rsid w:val="00950977"/>
    <w:rsid w:val="00951A7B"/>
    <w:rsid w:val="00953222"/>
    <w:rsid w:val="00953E33"/>
    <w:rsid w:val="00955777"/>
    <w:rsid w:val="009564A6"/>
    <w:rsid w:val="00957F4F"/>
    <w:rsid w:val="009611D5"/>
    <w:rsid w:val="00961A33"/>
    <w:rsid w:val="009625C4"/>
    <w:rsid w:val="009628B9"/>
    <w:rsid w:val="0096478F"/>
    <w:rsid w:val="00967621"/>
    <w:rsid w:val="00967E6A"/>
    <w:rsid w:val="00974174"/>
    <w:rsid w:val="00974966"/>
    <w:rsid w:val="00980797"/>
    <w:rsid w:val="009824DC"/>
    <w:rsid w:val="00984918"/>
    <w:rsid w:val="00984EB1"/>
    <w:rsid w:val="009901D6"/>
    <w:rsid w:val="00991489"/>
    <w:rsid w:val="00992893"/>
    <w:rsid w:val="009935AC"/>
    <w:rsid w:val="00996CFD"/>
    <w:rsid w:val="0099716F"/>
    <w:rsid w:val="009A0627"/>
    <w:rsid w:val="009A1B34"/>
    <w:rsid w:val="009A2A29"/>
    <w:rsid w:val="009A2B2F"/>
    <w:rsid w:val="009A6054"/>
    <w:rsid w:val="009A7015"/>
    <w:rsid w:val="009B2215"/>
    <w:rsid w:val="009B373B"/>
    <w:rsid w:val="009B3D52"/>
    <w:rsid w:val="009B4A0F"/>
    <w:rsid w:val="009B781A"/>
    <w:rsid w:val="009B7D4D"/>
    <w:rsid w:val="009C0FEC"/>
    <w:rsid w:val="009C11D2"/>
    <w:rsid w:val="009C157F"/>
    <w:rsid w:val="009C6C70"/>
    <w:rsid w:val="009D03FA"/>
    <w:rsid w:val="009D0922"/>
    <w:rsid w:val="009D0B63"/>
    <w:rsid w:val="009D0D39"/>
    <w:rsid w:val="009D1922"/>
    <w:rsid w:val="009D30D7"/>
    <w:rsid w:val="009D657C"/>
    <w:rsid w:val="009E1A50"/>
    <w:rsid w:val="009E307E"/>
    <w:rsid w:val="009E47E3"/>
    <w:rsid w:val="009E642A"/>
    <w:rsid w:val="009F1899"/>
    <w:rsid w:val="009F2B23"/>
    <w:rsid w:val="009F49F8"/>
    <w:rsid w:val="009F520B"/>
    <w:rsid w:val="009F6A55"/>
    <w:rsid w:val="00A0216E"/>
    <w:rsid w:val="00A03A4A"/>
    <w:rsid w:val="00A055D6"/>
    <w:rsid w:val="00A0614D"/>
    <w:rsid w:val="00A07870"/>
    <w:rsid w:val="00A07F19"/>
    <w:rsid w:val="00A12DE3"/>
    <w:rsid w:val="00A1348D"/>
    <w:rsid w:val="00A142D1"/>
    <w:rsid w:val="00A1489E"/>
    <w:rsid w:val="00A16A2D"/>
    <w:rsid w:val="00A232EE"/>
    <w:rsid w:val="00A32D1E"/>
    <w:rsid w:val="00A331B0"/>
    <w:rsid w:val="00A33538"/>
    <w:rsid w:val="00A3493C"/>
    <w:rsid w:val="00A34FFC"/>
    <w:rsid w:val="00A35DB4"/>
    <w:rsid w:val="00A36953"/>
    <w:rsid w:val="00A4175F"/>
    <w:rsid w:val="00A44411"/>
    <w:rsid w:val="00A46066"/>
    <w:rsid w:val="00A469FA"/>
    <w:rsid w:val="00A46B67"/>
    <w:rsid w:val="00A47D2E"/>
    <w:rsid w:val="00A47EFE"/>
    <w:rsid w:val="00A504B7"/>
    <w:rsid w:val="00A50E94"/>
    <w:rsid w:val="00A54799"/>
    <w:rsid w:val="00A55B01"/>
    <w:rsid w:val="00A56B5B"/>
    <w:rsid w:val="00A603FF"/>
    <w:rsid w:val="00A657DD"/>
    <w:rsid w:val="00A65D8E"/>
    <w:rsid w:val="00A666A6"/>
    <w:rsid w:val="00A66711"/>
    <w:rsid w:val="00A67369"/>
    <w:rsid w:val="00A675FD"/>
    <w:rsid w:val="00A70314"/>
    <w:rsid w:val="00A72437"/>
    <w:rsid w:val="00A74BE4"/>
    <w:rsid w:val="00A75060"/>
    <w:rsid w:val="00A77617"/>
    <w:rsid w:val="00A80611"/>
    <w:rsid w:val="00A82967"/>
    <w:rsid w:val="00A84B15"/>
    <w:rsid w:val="00A85470"/>
    <w:rsid w:val="00A86569"/>
    <w:rsid w:val="00A87016"/>
    <w:rsid w:val="00A878AF"/>
    <w:rsid w:val="00A87B1B"/>
    <w:rsid w:val="00A9194A"/>
    <w:rsid w:val="00A93F36"/>
    <w:rsid w:val="00A944FB"/>
    <w:rsid w:val="00A957E7"/>
    <w:rsid w:val="00A96376"/>
    <w:rsid w:val="00A96ACC"/>
    <w:rsid w:val="00AA0C7A"/>
    <w:rsid w:val="00AA4E09"/>
    <w:rsid w:val="00AA5BAE"/>
    <w:rsid w:val="00AB03E5"/>
    <w:rsid w:val="00AB1F69"/>
    <w:rsid w:val="00AB5340"/>
    <w:rsid w:val="00AB7419"/>
    <w:rsid w:val="00AC010E"/>
    <w:rsid w:val="00AC01CC"/>
    <w:rsid w:val="00AC03D3"/>
    <w:rsid w:val="00AC16B8"/>
    <w:rsid w:val="00AC26CA"/>
    <w:rsid w:val="00AC284D"/>
    <w:rsid w:val="00AC7C96"/>
    <w:rsid w:val="00AD641A"/>
    <w:rsid w:val="00AD66B6"/>
    <w:rsid w:val="00AD6F88"/>
    <w:rsid w:val="00AD79E8"/>
    <w:rsid w:val="00AE237D"/>
    <w:rsid w:val="00AE2A3D"/>
    <w:rsid w:val="00AE502A"/>
    <w:rsid w:val="00AE75D7"/>
    <w:rsid w:val="00AF0897"/>
    <w:rsid w:val="00AF0DF7"/>
    <w:rsid w:val="00AF5634"/>
    <w:rsid w:val="00AF5C4E"/>
    <w:rsid w:val="00AF7C07"/>
    <w:rsid w:val="00B03AA2"/>
    <w:rsid w:val="00B04EB4"/>
    <w:rsid w:val="00B0691C"/>
    <w:rsid w:val="00B07600"/>
    <w:rsid w:val="00B11463"/>
    <w:rsid w:val="00B126D4"/>
    <w:rsid w:val="00B12D9A"/>
    <w:rsid w:val="00B15CED"/>
    <w:rsid w:val="00B162C4"/>
    <w:rsid w:val="00B1649B"/>
    <w:rsid w:val="00B166AA"/>
    <w:rsid w:val="00B17211"/>
    <w:rsid w:val="00B20E72"/>
    <w:rsid w:val="00B21F5C"/>
    <w:rsid w:val="00B224B1"/>
    <w:rsid w:val="00B22C93"/>
    <w:rsid w:val="00B24C4A"/>
    <w:rsid w:val="00B24F62"/>
    <w:rsid w:val="00B25CDA"/>
    <w:rsid w:val="00B26C5B"/>
    <w:rsid w:val="00B27589"/>
    <w:rsid w:val="00B27618"/>
    <w:rsid w:val="00B3399D"/>
    <w:rsid w:val="00B35F91"/>
    <w:rsid w:val="00B37EF9"/>
    <w:rsid w:val="00B405B7"/>
    <w:rsid w:val="00B405EE"/>
    <w:rsid w:val="00B41439"/>
    <w:rsid w:val="00B445C0"/>
    <w:rsid w:val="00B45E6D"/>
    <w:rsid w:val="00B5137A"/>
    <w:rsid w:val="00B52222"/>
    <w:rsid w:val="00B523A2"/>
    <w:rsid w:val="00B52BCF"/>
    <w:rsid w:val="00B54F06"/>
    <w:rsid w:val="00B54FE7"/>
    <w:rsid w:val="00B55F06"/>
    <w:rsid w:val="00B57C47"/>
    <w:rsid w:val="00B61C40"/>
    <w:rsid w:val="00B62ED1"/>
    <w:rsid w:val="00B66901"/>
    <w:rsid w:val="00B6735F"/>
    <w:rsid w:val="00B71803"/>
    <w:rsid w:val="00B71E6D"/>
    <w:rsid w:val="00B72070"/>
    <w:rsid w:val="00B734F7"/>
    <w:rsid w:val="00B74C61"/>
    <w:rsid w:val="00B779E1"/>
    <w:rsid w:val="00B8041F"/>
    <w:rsid w:val="00B82C30"/>
    <w:rsid w:val="00B85707"/>
    <w:rsid w:val="00B859A3"/>
    <w:rsid w:val="00B91E00"/>
    <w:rsid w:val="00B91EE1"/>
    <w:rsid w:val="00B9373C"/>
    <w:rsid w:val="00B953F0"/>
    <w:rsid w:val="00B955B8"/>
    <w:rsid w:val="00B971ED"/>
    <w:rsid w:val="00B9745E"/>
    <w:rsid w:val="00BA0090"/>
    <w:rsid w:val="00BA1A67"/>
    <w:rsid w:val="00BA6D9A"/>
    <w:rsid w:val="00BA70F6"/>
    <w:rsid w:val="00BB49DE"/>
    <w:rsid w:val="00BB6543"/>
    <w:rsid w:val="00BC07FE"/>
    <w:rsid w:val="00BC5466"/>
    <w:rsid w:val="00BC5976"/>
    <w:rsid w:val="00BD0093"/>
    <w:rsid w:val="00BD0163"/>
    <w:rsid w:val="00BD159E"/>
    <w:rsid w:val="00BD3F25"/>
    <w:rsid w:val="00BD54F5"/>
    <w:rsid w:val="00BE0F82"/>
    <w:rsid w:val="00BE1355"/>
    <w:rsid w:val="00BE5B5F"/>
    <w:rsid w:val="00BF038E"/>
    <w:rsid w:val="00BF0E6A"/>
    <w:rsid w:val="00BF2E54"/>
    <w:rsid w:val="00BF304A"/>
    <w:rsid w:val="00BF67DC"/>
    <w:rsid w:val="00BF6E83"/>
    <w:rsid w:val="00C00A01"/>
    <w:rsid w:val="00C03556"/>
    <w:rsid w:val="00C04A65"/>
    <w:rsid w:val="00C0569A"/>
    <w:rsid w:val="00C0675A"/>
    <w:rsid w:val="00C06D8A"/>
    <w:rsid w:val="00C10344"/>
    <w:rsid w:val="00C10EBC"/>
    <w:rsid w:val="00C15B23"/>
    <w:rsid w:val="00C20C1C"/>
    <w:rsid w:val="00C23FC0"/>
    <w:rsid w:val="00C26F55"/>
    <w:rsid w:val="00C304D0"/>
    <w:rsid w:val="00C30C63"/>
    <w:rsid w:val="00C30ECA"/>
    <w:rsid w:val="00C31A78"/>
    <w:rsid w:val="00C32429"/>
    <w:rsid w:val="00C32B1E"/>
    <w:rsid w:val="00C32B37"/>
    <w:rsid w:val="00C36B8B"/>
    <w:rsid w:val="00C37099"/>
    <w:rsid w:val="00C41D49"/>
    <w:rsid w:val="00C4414A"/>
    <w:rsid w:val="00C44F97"/>
    <w:rsid w:val="00C45605"/>
    <w:rsid w:val="00C47DBF"/>
    <w:rsid w:val="00C5172A"/>
    <w:rsid w:val="00C53666"/>
    <w:rsid w:val="00C552FF"/>
    <w:rsid w:val="00C558DA"/>
    <w:rsid w:val="00C55AF3"/>
    <w:rsid w:val="00C60713"/>
    <w:rsid w:val="00C60944"/>
    <w:rsid w:val="00C61024"/>
    <w:rsid w:val="00C63D0C"/>
    <w:rsid w:val="00C64DBE"/>
    <w:rsid w:val="00C70B49"/>
    <w:rsid w:val="00C72465"/>
    <w:rsid w:val="00C7287D"/>
    <w:rsid w:val="00C7324F"/>
    <w:rsid w:val="00C7370A"/>
    <w:rsid w:val="00C74D49"/>
    <w:rsid w:val="00C757A6"/>
    <w:rsid w:val="00C75C7C"/>
    <w:rsid w:val="00C80EFA"/>
    <w:rsid w:val="00C8190C"/>
    <w:rsid w:val="00C81951"/>
    <w:rsid w:val="00C81BC8"/>
    <w:rsid w:val="00C83A8F"/>
    <w:rsid w:val="00C84759"/>
    <w:rsid w:val="00C85A0E"/>
    <w:rsid w:val="00C909B6"/>
    <w:rsid w:val="00C9132D"/>
    <w:rsid w:val="00C93546"/>
    <w:rsid w:val="00C944A3"/>
    <w:rsid w:val="00C953B4"/>
    <w:rsid w:val="00C96AC4"/>
    <w:rsid w:val="00C97578"/>
    <w:rsid w:val="00CA0D03"/>
    <w:rsid w:val="00CA1DA9"/>
    <w:rsid w:val="00CA26B8"/>
    <w:rsid w:val="00CA50D2"/>
    <w:rsid w:val="00CA638F"/>
    <w:rsid w:val="00CA6C7F"/>
    <w:rsid w:val="00CA7264"/>
    <w:rsid w:val="00CA78AF"/>
    <w:rsid w:val="00CB28FC"/>
    <w:rsid w:val="00CB4BAF"/>
    <w:rsid w:val="00CB5147"/>
    <w:rsid w:val="00CB5DB5"/>
    <w:rsid w:val="00CB6F8C"/>
    <w:rsid w:val="00CC0260"/>
    <w:rsid w:val="00CC10A6"/>
    <w:rsid w:val="00CD1960"/>
    <w:rsid w:val="00CD2577"/>
    <w:rsid w:val="00CD5EB8"/>
    <w:rsid w:val="00CD6AC7"/>
    <w:rsid w:val="00CD7044"/>
    <w:rsid w:val="00CD708B"/>
    <w:rsid w:val="00CE08B9"/>
    <w:rsid w:val="00CE3FD7"/>
    <w:rsid w:val="00CE524C"/>
    <w:rsid w:val="00CF141F"/>
    <w:rsid w:val="00CF2EE5"/>
    <w:rsid w:val="00CF4777"/>
    <w:rsid w:val="00CF5AF8"/>
    <w:rsid w:val="00CF675B"/>
    <w:rsid w:val="00CF6EC9"/>
    <w:rsid w:val="00CF7758"/>
    <w:rsid w:val="00D000CB"/>
    <w:rsid w:val="00D04C72"/>
    <w:rsid w:val="00D067BB"/>
    <w:rsid w:val="00D070CC"/>
    <w:rsid w:val="00D073EC"/>
    <w:rsid w:val="00D12889"/>
    <w:rsid w:val="00D1288B"/>
    <w:rsid w:val="00D1352A"/>
    <w:rsid w:val="00D13EDE"/>
    <w:rsid w:val="00D13F28"/>
    <w:rsid w:val="00D169AF"/>
    <w:rsid w:val="00D20749"/>
    <w:rsid w:val="00D2204F"/>
    <w:rsid w:val="00D25249"/>
    <w:rsid w:val="00D255A7"/>
    <w:rsid w:val="00D27702"/>
    <w:rsid w:val="00D32A63"/>
    <w:rsid w:val="00D33A43"/>
    <w:rsid w:val="00D3555C"/>
    <w:rsid w:val="00D36C43"/>
    <w:rsid w:val="00D37E90"/>
    <w:rsid w:val="00D427D3"/>
    <w:rsid w:val="00D44172"/>
    <w:rsid w:val="00D526D8"/>
    <w:rsid w:val="00D55E8A"/>
    <w:rsid w:val="00D61459"/>
    <w:rsid w:val="00D63B8C"/>
    <w:rsid w:val="00D707C9"/>
    <w:rsid w:val="00D712FD"/>
    <w:rsid w:val="00D72CB6"/>
    <w:rsid w:val="00D739CC"/>
    <w:rsid w:val="00D804A8"/>
    <w:rsid w:val="00D8093D"/>
    <w:rsid w:val="00D80A13"/>
    <w:rsid w:val="00D8108C"/>
    <w:rsid w:val="00D842AE"/>
    <w:rsid w:val="00D8469E"/>
    <w:rsid w:val="00D85576"/>
    <w:rsid w:val="00D9141C"/>
    <w:rsid w:val="00D9211C"/>
    <w:rsid w:val="00D92DE0"/>
    <w:rsid w:val="00D92F87"/>
    <w:rsid w:val="00D92FEF"/>
    <w:rsid w:val="00D93A0F"/>
    <w:rsid w:val="00D94F85"/>
    <w:rsid w:val="00D95077"/>
    <w:rsid w:val="00D96D1B"/>
    <w:rsid w:val="00DA1BCA"/>
    <w:rsid w:val="00DA1CA7"/>
    <w:rsid w:val="00DA2395"/>
    <w:rsid w:val="00DA3FFA"/>
    <w:rsid w:val="00DA4C48"/>
    <w:rsid w:val="00DA6856"/>
    <w:rsid w:val="00DA7299"/>
    <w:rsid w:val="00DA7C66"/>
    <w:rsid w:val="00DA7E21"/>
    <w:rsid w:val="00DA7FB3"/>
    <w:rsid w:val="00DB0ED4"/>
    <w:rsid w:val="00DB1DFF"/>
    <w:rsid w:val="00DB36B7"/>
    <w:rsid w:val="00DB3E23"/>
    <w:rsid w:val="00DB5443"/>
    <w:rsid w:val="00DC46FF"/>
    <w:rsid w:val="00DC5254"/>
    <w:rsid w:val="00DD1A4F"/>
    <w:rsid w:val="00DD2C68"/>
    <w:rsid w:val="00DD3107"/>
    <w:rsid w:val="00DD5EFF"/>
    <w:rsid w:val="00DD7140"/>
    <w:rsid w:val="00DD7C2C"/>
    <w:rsid w:val="00DE42FD"/>
    <w:rsid w:val="00DE4E61"/>
    <w:rsid w:val="00DE5FC2"/>
    <w:rsid w:val="00DE6E55"/>
    <w:rsid w:val="00DE73E5"/>
    <w:rsid w:val="00DE787C"/>
    <w:rsid w:val="00DE7B31"/>
    <w:rsid w:val="00DF379C"/>
    <w:rsid w:val="00DF4F01"/>
    <w:rsid w:val="00DF5660"/>
    <w:rsid w:val="00E040F0"/>
    <w:rsid w:val="00E0574F"/>
    <w:rsid w:val="00E06797"/>
    <w:rsid w:val="00E0768C"/>
    <w:rsid w:val="00E07D0C"/>
    <w:rsid w:val="00E122BC"/>
    <w:rsid w:val="00E1265B"/>
    <w:rsid w:val="00E13B48"/>
    <w:rsid w:val="00E13E28"/>
    <w:rsid w:val="00E1404F"/>
    <w:rsid w:val="00E2026A"/>
    <w:rsid w:val="00E212EF"/>
    <w:rsid w:val="00E21C83"/>
    <w:rsid w:val="00E23D64"/>
    <w:rsid w:val="00E24ADA"/>
    <w:rsid w:val="00E256F6"/>
    <w:rsid w:val="00E25E31"/>
    <w:rsid w:val="00E26426"/>
    <w:rsid w:val="00E30EF7"/>
    <w:rsid w:val="00E32F59"/>
    <w:rsid w:val="00E33188"/>
    <w:rsid w:val="00E33449"/>
    <w:rsid w:val="00E34437"/>
    <w:rsid w:val="00E37F15"/>
    <w:rsid w:val="00E408EA"/>
    <w:rsid w:val="00E41770"/>
    <w:rsid w:val="00E440CD"/>
    <w:rsid w:val="00E450D6"/>
    <w:rsid w:val="00E4660E"/>
    <w:rsid w:val="00E46D9A"/>
    <w:rsid w:val="00E47388"/>
    <w:rsid w:val="00E50485"/>
    <w:rsid w:val="00E504BD"/>
    <w:rsid w:val="00E50798"/>
    <w:rsid w:val="00E509D1"/>
    <w:rsid w:val="00E50AC0"/>
    <w:rsid w:val="00E50FB9"/>
    <w:rsid w:val="00E52CE9"/>
    <w:rsid w:val="00E537F5"/>
    <w:rsid w:val="00E544AF"/>
    <w:rsid w:val="00E5518E"/>
    <w:rsid w:val="00E565FF"/>
    <w:rsid w:val="00E56C4C"/>
    <w:rsid w:val="00E577F4"/>
    <w:rsid w:val="00E579C2"/>
    <w:rsid w:val="00E57F92"/>
    <w:rsid w:val="00E600D6"/>
    <w:rsid w:val="00E612CB"/>
    <w:rsid w:val="00E63C75"/>
    <w:rsid w:val="00E65388"/>
    <w:rsid w:val="00E67833"/>
    <w:rsid w:val="00E67DE4"/>
    <w:rsid w:val="00E7029B"/>
    <w:rsid w:val="00E70573"/>
    <w:rsid w:val="00E71278"/>
    <w:rsid w:val="00E74ACB"/>
    <w:rsid w:val="00E755C7"/>
    <w:rsid w:val="00E765A1"/>
    <w:rsid w:val="00E76D12"/>
    <w:rsid w:val="00E81EED"/>
    <w:rsid w:val="00E83F28"/>
    <w:rsid w:val="00E84DCD"/>
    <w:rsid w:val="00E851E9"/>
    <w:rsid w:val="00E85949"/>
    <w:rsid w:val="00E85B7D"/>
    <w:rsid w:val="00E869F0"/>
    <w:rsid w:val="00E86DD6"/>
    <w:rsid w:val="00E90565"/>
    <w:rsid w:val="00E9121B"/>
    <w:rsid w:val="00E92A0A"/>
    <w:rsid w:val="00E93187"/>
    <w:rsid w:val="00E94B48"/>
    <w:rsid w:val="00E96614"/>
    <w:rsid w:val="00E96AF6"/>
    <w:rsid w:val="00EA0AE2"/>
    <w:rsid w:val="00EA19B8"/>
    <w:rsid w:val="00EA292F"/>
    <w:rsid w:val="00EA39E5"/>
    <w:rsid w:val="00EA5510"/>
    <w:rsid w:val="00EA7D29"/>
    <w:rsid w:val="00EB07CF"/>
    <w:rsid w:val="00EB1F04"/>
    <w:rsid w:val="00EB3106"/>
    <w:rsid w:val="00EB46B1"/>
    <w:rsid w:val="00EC2937"/>
    <w:rsid w:val="00EC31E6"/>
    <w:rsid w:val="00EC4467"/>
    <w:rsid w:val="00EC453D"/>
    <w:rsid w:val="00EC5A46"/>
    <w:rsid w:val="00EC63E2"/>
    <w:rsid w:val="00EC74F6"/>
    <w:rsid w:val="00ED0087"/>
    <w:rsid w:val="00ED028A"/>
    <w:rsid w:val="00ED080B"/>
    <w:rsid w:val="00ED1F3E"/>
    <w:rsid w:val="00ED2532"/>
    <w:rsid w:val="00ED58B0"/>
    <w:rsid w:val="00ED5B55"/>
    <w:rsid w:val="00ED6D5C"/>
    <w:rsid w:val="00ED79A2"/>
    <w:rsid w:val="00EE0259"/>
    <w:rsid w:val="00EE1BA8"/>
    <w:rsid w:val="00EE1E98"/>
    <w:rsid w:val="00EE397B"/>
    <w:rsid w:val="00EE4483"/>
    <w:rsid w:val="00EE5261"/>
    <w:rsid w:val="00EF02DF"/>
    <w:rsid w:val="00EF22B3"/>
    <w:rsid w:val="00EF2A33"/>
    <w:rsid w:val="00EF3269"/>
    <w:rsid w:val="00EF3E34"/>
    <w:rsid w:val="00EF469A"/>
    <w:rsid w:val="00EF6838"/>
    <w:rsid w:val="00EF6E55"/>
    <w:rsid w:val="00F01658"/>
    <w:rsid w:val="00F0234D"/>
    <w:rsid w:val="00F02E4A"/>
    <w:rsid w:val="00F03B69"/>
    <w:rsid w:val="00F07A50"/>
    <w:rsid w:val="00F07C26"/>
    <w:rsid w:val="00F10D0A"/>
    <w:rsid w:val="00F113DA"/>
    <w:rsid w:val="00F11660"/>
    <w:rsid w:val="00F13762"/>
    <w:rsid w:val="00F15A15"/>
    <w:rsid w:val="00F169CA"/>
    <w:rsid w:val="00F20260"/>
    <w:rsid w:val="00F2109E"/>
    <w:rsid w:val="00F21BCD"/>
    <w:rsid w:val="00F2228E"/>
    <w:rsid w:val="00F22C29"/>
    <w:rsid w:val="00F23184"/>
    <w:rsid w:val="00F25F15"/>
    <w:rsid w:val="00F319FC"/>
    <w:rsid w:val="00F32E70"/>
    <w:rsid w:val="00F34CAA"/>
    <w:rsid w:val="00F3651E"/>
    <w:rsid w:val="00F37DC8"/>
    <w:rsid w:val="00F4008B"/>
    <w:rsid w:val="00F439B3"/>
    <w:rsid w:val="00F45AA8"/>
    <w:rsid w:val="00F500BD"/>
    <w:rsid w:val="00F502DD"/>
    <w:rsid w:val="00F511D5"/>
    <w:rsid w:val="00F52A1B"/>
    <w:rsid w:val="00F551E3"/>
    <w:rsid w:val="00F60191"/>
    <w:rsid w:val="00F612F6"/>
    <w:rsid w:val="00F619DA"/>
    <w:rsid w:val="00F61E8E"/>
    <w:rsid w:val="00F638FC"/>
    <w:rsid w:val="00F650C3"/>
    <w:rsid w:val="00F65D85"/>
    <w:rsid w:val="00F66E0D"/>
    <w:rsid w:val="00F7203C"/>
    <w:rsid w:val="00F75453"/>
    <w:rsid w:val="00F76F93"/>
    <w:rsid w:val="00F8091E"/>
    <w:rsid w:val="00F8615C"/>
    <w:rsid w:val="00F863E2"/>
    <w:rsid w:val="00F867CF"/>
    <w:rsid w:val="00F86F17"/>
    <w:rsid w:val="00F9114F"/>
    <w:rsid w:val="00F916F9"/>
    <w:rsid w:val="00F93A92"/>
    <w:rsid w:val="00F969E5"/>
    <w:rsid w:val="00F97AEE"/>
    <w:rsid w:val="00F97E54"/>
    <w:rsid w:val="00F97F9C"/>
    <w:rsid w:val="00FA098E"/>
    <w:rsid w:val="00FA13A6"/>
    <w:rsid w:val="00FA1C95"/>
    <w:rsid w:val="00FA2246"/>
    <w:rsid w:val="00FA6961"/>
    <w:rsid w:val="00FA6A51"/>
    <w:rsid w:val="00FA6BB0"/>
    <w:rsid w:val="00FA6ED6"/>
    <w:rsid w:val="00FA7B34"/>
    <w:rsid w:val="00FB0F53"/>
    <w:rsid w:val="00FB1DFB"/>
    <w:rsid w:val="00FB4BA3"/>
    <w:rsid w:val="00FB645E"/>
    <w:rsid w:val="00FB660E"/>
    <w:rsid w:val="00FB7CEB"/>
    <w:rsid w:val="00FC031B"/>
    <w:rsid w:val="00FC3073"/>
    <w:rsid w:val="00FC33C9"/>
    <w:rsid w:val="00FC4BDF"/>
    <w:rsid w:val="00FC741E"/>
    <w:rsid w:val="00FD16E2"/>
    <w:rsid w:val="00FD2D77"/>
    <w:rsid w:val="00FD5860"/>
    <w:rsid w:val="00FE17A9"/>
    <w:rsid w:val="00FE22F3"/>
    <w:rsid w:val="00FE2D51"/>
    <w:rsid w:val="00FE352D"/>
    <w:rsid w:val="00FE40EB"/>
    <w:rsid w:val="00FE4D02"/>
    <w:rsid w:val="00FE51C9"/>
    <w:rsid w:val="00FE539B"/>
    <w:rsid w:val="00FE7806"/>
    <w:rsid w:val="00FE7B2F"/>
    <w:rsid w:val="00FE7D62"/>
    <w:rsid w:val="00FF1654"/>
    <w:rsid w:val="00FF3819"/>
    <w:rsid w:val="00FF6250"/>
    <w:rsid w:val="00FF6EC8"/>
    <w:rsid w:val="085BE3CD"/>
    <w:rsid w:val="166791BA"/>
    <w:rsid w:val="186667D6"/>
    <w:rsid w:val="1A279527"/>
    <w:rsid w:val="2AD9C2B5"/>
    <w:rsid w:val="2B5BBDA3"/>
    <w:rsid w:val="31E1D03D"/>
    <w:rsid w:val="37442909"/>
    <w:rsid w:val="37A05999"/>
    <w:rsid w:val="3F4ABCA3"/>
    <w:rsid w:val="45923CD4"/>
    <w:rsid w:val="504E71BF"/>
    <w:rsid w:val="568F7E91"/>
    <w:rsid w:val="5F2F9B26"/>
    <w:rsid w:val="62E6FAF6"/>
    <w:rsid w:val="676D5E15"/>
    <w:rsid w:val="688C143C"/>
    <w:rsid w:val="68AC39C6"/>
    <w:rsid w:val="7480230C"/>
    <w:rsid w:val="77B45687"/>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765AF"/>
  <w15:chartTrackingRefBased/>
  <w15:docId w15:val="{25F763E3-B44B-4BDA-BDC3-291166CA7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F500BD"/>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F500BD"/>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F500BD"/>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F500BD"/>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F500BD"/>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F500B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F500BD"/>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F500BD"/>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F500BD"/>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F500BD"/>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F500BD"/>
    <w:rPr>
      <w:rFonts w:ascii="Times New Roman" w:hAnsi="Times New Roman"/>
      <w:b/>
      <w:sz w:val="18"/>
      <w:lang w:val="en-GB"/>
    </w:rPr>
  </w:style>
  <w:style w:type="table" w:customStyle="1" w:styleId="Tabledocright">
    <w:name w:val="Table_doc_right"/>
    <w:basedOn w:val="TableNormal"/>
    <w:rsid w:val="00F500BD"/>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F500BD"/>
    <w:pPr>
      <w:ind w:left="1000"/>
    </w:pPr>
    <w:rPr>
      <w:sz w:val="18"/>
      <w:szCs w:val="18"/>
    </w:rPr>
  </w:style>
  <w:style w:type="paragraph" w:styleId="TOC7">
    <w:name w:val="toc 7"/>
    <w:basedOn w:val="Normal"/>
    <w:next w:val="Normal"/>
    <w:autoRedefine/>
    <w:semiHidden/>
    <w:rsid w:val="00F500BD"/>
    <w:pPr>
      <w:ind w:left="1200"/>
    </w:pPr>
    <w:rPr>
      <w:sz w:val="18"/>
      <w:szCs w:val="18"/>
    </w:rPr>
  </w:style>
  <w:style w:type="paragraph" w:styleId="TOC8">
    <w:name w:val="toc 8"/>
    <w:basedOn w:val="Normal"/>
    <w:next w:val="Normal"/>
    <w:autoRedefine/>
    <w:semiHidden/>
    <w:rsid w:val="00F500BD"/>
    <w:pPr>
      <w:ind w:left="1400"/>
    </w:pPr>
    <w:rPr>
      <w:sz w:val="18"/>
      <w:szCs w:val="18"/>
    </w:rPr>
  </w:style>
  <w:style w:type="paragraph" w:styleId="TOC9">
    <w:name w:val="toc 9"/>
    <w:basedOn w:val="Normal"/>
    <w:next w:val="Normal"/>
    <w:autoRedefine/>
    <w:semiHidden/>
    <w:rsid w:val="00F500BD"/>
    <w:pPr>
      <w:ind w:left="1600"/>
    </w:pPr>
    <w:rPr>
      <w:sz w:val="18"/>
      <w:szCs w:val="18"/>
    </w:rPr>
  </w:style>
  <w:style w:type="paragraph" w:customStyle="1" w:styleId="Titlefigure">
    <w:name w:val="Title_figure"/>
    <w:basedOn w:val="Titletable"/>
    <w:next w:val="NormalNonumber"/>
    <w:rsid w:val="00F500BD"/>
    <w:pPr>
      <w:tabs>
        <w:tab w:val="clear" w:pos="4990"/>
      </w:tabs>
    </w:pPr>
    <w:rPr>
      <w:bCs w:val="0"/>
    </w:rPr>
  </w:style>
  <w:style w:type="paragraph" w:styleId="TableofFigures">
    <w:name w:val="table of figures"/>
    <w:basedOn w:val="Normal"/>
    <w:next w:val="Normal"/>
    <w:autoRedefine/>
    <w:semiHidden/>
    <w:rsid w:val="00F500BD"/>
    <w:pPr>
      <w:ind w:left="1814" w:hanging="567"/>
    </w:pPr>
  </w:style>
  <w:style w:type="paragraph" w:customStyle="1" w:styleId="CH1">
    <w:name w:val="CH1"/>
    <w:basedOn w:val="Normal-pool"/>
    <w:next w:val="CH2"/>
    <w:qFormat/>
    <w:rsid w:val="00F500B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F500B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F500B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F500BD"/>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F500B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F500BD"/>
    <w:pPr>
      <w:tabs>
        <w:tab w:val="left" w:pos="4321"/>
        <w:tab w:val="right" w:pos="8641"/>
      </w:tabs>
      <w:spacing w:before="60"/>
    </w:pPr>
    <w:rPr>
      <w:b/>
      <w:sz w:val="18"/>
    </w:rPr>
  </w:style>
  <w:style w:type="paragraph" w:customStyle="1" w:styleId="Footer-pool">
    <w:name w:val="Footer-pool"/>
    <w:basedOn w:val="Normal-pool"/>
    <w:next w:val="Normal-pool"/>
    <w:rsid w:val="00F500BD"/>
    <w:pPr>
      <w:tabs>
        <w:tab w:val="right" w:pos="8641"/>
      </w:tabs>
      <w:spacing w:after="120"/>
    </w:pPr>
    <w:rPr>
      <w:b/>
      <w:sz w:val="18"/>
    </w:rPr>
  </w:style>
  <w:style w:type="paragraph" w:customStyle="1" w:styleId="Header-pool">
    <w:name w:val="Header-pool"/>
    <w:basedOn w:val="Normal"/>
    <w:next w:val="Normal"/>
    <w:rsid w:val="00F500BD"/>
    <w:pPr>
      <w:pBdr>
        <w:bottom w:val="single" w:sz="4" w:space="1" w:color="auto"/>
      </w:pBdr>
      <w:tabs>
        <w:tab w:val="right" w:pos="9072"/>
      </w:tabs>
    </w:pPr>
    <w:rPr>
      <w:b/>
      <w:sz w:val="18"/>
    </w:rPr>
  </w:style>
  <w:style w:type="character" w:styleId="FootnoteReference">
    <w:name w:val="footnote reference"/>
    <w:unhideWhenUsed/>
    <w:rsid w:val="00F500BD"/>
    <w:rPr>
      <w:rFonts w:ascii="Times New Roman" w:hAnsi="Times New Roman"/>
      <w:color w:val="auto"/>
      <w:sz w:val="20"/>
      <w:szCs w:val="18"/>
      <w:vertAlign w:val="superscript"/>
      <w:lang w:val="en-GB"/>
    </w:rPr>
  </w:style>
  <w:style w:type="table" w:customStyle="1" w:styleId="AATable">
    <w:name w:val="AA_Table"/>
    <w:basedOn w:val="TableNormal"/>
    <w:semiHidden/>
    <w:rsid w:val="00F500BD"/>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F500BD"/>
    <w:pPr>
      <w:keepNext/>
      <w:keepLines/>
      <w:suppressAutoHyphens/>
    </w:pPr>
    <w:rPr>
      <w:b/>
    </w:rPr>
  </w:style>
  <w:style w:type="paragraph" w:customStyle="1" w:styleId="AATitle2">
    <w:name w:val="AA_Title2"/>
    <w:basedOn w:val="AATitle"/>
    <w:rsid w:val="00F500BD"/>
    <w:pPr>
      <w:keepNext w:val="0"/>
      <w:keepLines w:val="0"/>
      <w:tabs>
        <w:tab w:val="clear" w:pos="4990"/>
      </w:tabs>
      <w:spacing w:before="120" w:after="120"/>
    </w:pPr>
  </w:style>
  <w:style w:type="paragraph" w:customStyle="1" w:styleId="BBTitle">
    <w:name w:val="BB_Title"/>
    <w:basedOn w:val="Normal-pool"/>
    <w:link w:val="BBTitleChar"/>
    <w:qFormat/>
    <w:rsid w:val="00F500B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F500B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F500BD"/>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F500BD"/>
    <w:rPr>
      <w:color w:val="0000FF"/>
      <w:u w:val="none"/>
      <w:lang w:val="en-GB"/>
    </w:rPr>
  </w:style>
  <w:style w:type="numbering" w:customStyle="1" w:styleId="Normallist">
    <w:name w:val="Normal_list"/>
    <w:basedOn w:val="NoList"/>
    <w:rsid w:val="00F500BD"/>
    <w:pPr>
      <w:numPr>
        <w:numId w:val="23"/>
      </w:numPr>
    </w:pPr>
  </w:style>
  <w:style w:type="paragraph" w:customStyle="1" w:styleId="NormalNonumber">
    <w:name w:val="Normal_No_number"/>
    <w:basedOn w:val="Normal-pool"/>
    <w:qFormat/>
    <w:rsid w:val="00F500BD"/>
    <w:pPr>
      <w:spacing w:after="120"/>
      <w:ind w:left="1247"/>
    </w:pPr>
  </w:style>
  <w:style w:type="paragraph" w:customStyle="1" w:styleId="Normalnumber">
    <w:name w:val="Normal_number"/>
    <w:basedOn w:val="Normal"/>
    <w:link w:val="NormalnumberChar"/>
    <w:qFormat/>
    <w:rsid w:val="00F500BD"/>
    <w:pPr>
      <w:numPr>
        <w:numId w:val="1"/>
      </w:numPr>
      <w:spacing w:after="120"/>
    </w:pPr>
  </w:style>
  <w:style w:type="paragraph" w:customStyle="1" w:styleId="Titletable">
    <w:name w:val="Title_table"/>
    <w:basedOn w:val="Normal-pool"/>
    <w:next w:val="NormalNonumber"/>
    <w:rsid w:val="00F500BD"/>
    <w:pPr>
      <w:keepNext/>
      <w:keepLines/>
      <w:suppressAutoHyphens/>
      <w:spacing w:after="60"/>
      <w:ind w:left="1247"/>
    </w:pPr>
    <w:rPr>
      <w:b/>
      <w:bCs/>
    </w:rPr>
  </w:style>
  <w:style w:type="paragraph" w:styleId="TOC1">
    <w:name w:val="toc 1"/>
    <w:basedOn w:val="Normal"/>
    <w:next w:val="Normal"/>
    <w:autoRedefine/>
    <w:uiPriority w:val="39"/>
    <w:unhideWhenUsed/>
    <w:rsid w:val="00F500BD"/>
    <w:pPr>
      <w:tabs>
        <w:tab w:val="right" w:leader="dot" w:pos="9486"/>
      </w:tabs>
      <w:spacing w:before="240"/>
      <w:ind w:left="1984" w:hanging="737"/>
    </w:pPr>
    <w:rPr>
      <w:bCs/>
    </w:rPr>
  </w:style>
  <w:style w:type="paragraph" w:styleId="TOC2">
    <w:name w:val="toc 2"/>
    <w:basedOn w:val="Normal"/>
    <w:next w:val="Normal"/>
    <w:uiPriority w:val="39"/>
    <w:unhideWhenUsed/>
    <w:rsid w:val="00F500BD"/>
    <w:pPr>
      <w:tabs>
        <w:tab w:val="right" w:leader="dot" w:pos="9486"/>
      </w:tabs>
      <w:spacing w:before="60"/>
      <w:ind w:left="2608" w:hanging="737"/>
    </w:pPr>
  </w:style>
  <w:style w:type="paragraph" w:styleId="TOC3">
    <w:name w:val="toc 3"/>
    <w:basedOn w:val="Normal"/>
    <w:next w:val="Normal"/>
    <w:uiPriority w:val="39"/>
    <w:unhideWhenUsed/>
    <w:rsid w:val="00F500BD"/>
    <w:pPr>
      <w:tabs>
        <w:tab w:val="right" w:leader="dot" w:pos="9486"/>
      </w:tabs>
      <w:ind w:left="3232" w:hanging="737"/>
    </w:pPr>
    <w:rPr>
      <w:iCs/>
    </w:rPr>
  </w:style>
  <w:style w:type="paragraph" w:styleId="TOC4">
    <w:name w:val="toc 4"/>
    <w:basedOn w:val="Normal"/>
    <w:next w:val="Normal"/>
    <w:uiPriority w:val="39"/>
    <w:unhideWhenUsed/>
    <w:rsid w:val="00F500BD"/>
    <w:pPr>
      <w:tabs>
        <w:tab w:val="left" w:pos="1000"/>
        <w:tab w:val="right" w:leader="dot" w:pos="9486"/>
      </w:tabs>
      <w:ind w:left="3856" w:hanging="737"/>
    </w:pPr>
    <w:rPr>
      <w:szCs w:val="18"/>
    </w:rPr>
  </w:style>
  <w:style w:type="paragraph" w:styleId="TOC5">
    <w:name w:val="toc 5"/>
    <w:basedOn w:val="Normal"/>
    <w:next w:val="Normal"/>
    <w:uiPriority w:val="39"/>
    <w:rsid w:val="00F500BD"/>
    <w:pPr>
      <w:tabs>
        <w:tab w:val="right" w:leader="dot" w:pos="9486"/>
      </w:tabs>
      <w:ind w:left="4479" w:hanging="737"/>
    </w:pPr>
    <w:rPr>
      <w:sz w:val="18"/>
      <w:szCs w:val="18"/>
    </w:rPr>
  </w:style>
  <w:style w:type="paragraph" w:customStyle="1" w:styleId="ZZAnxheader">
    <w:name w:val="ZZ_Anx_header"/>
    <w:basedOn w:val="Normal-pool"/>
    <w:rsid w:val="00F500BD"/>
    <w:rPr>
      <w:b/>
      <w:bCs/>
      <w:sz w:val="28"/>
      <w:szCs w:val="22"/>
    </w:rPr>
  </w:style>
  <w:style w:type="paragraph" w:customStyle="1" w:styleId="ZZAnxtitle">
    <w:name w:val="ZZ_Anx_title"/>
    <w:basedOn w:val="Normal-pool"/>
    <w:rsid w:val="00F500BD"/>
    <w:pPr>
      <w:spacing w:before="360" w:after="120"/>
      <w:ind w:left="1247"/>
    </w:pPr>
    <w:rPr>
      <w:b/>
      <w:bCs/>
      <w:sz w:val="28"/>
      <w:szCs w:val="26"/>
    </w:rPr>
  </w:style>
  <w:style w:type="paragraph" w:styleId="NormalWeb">
    <w:name w:val="Normal (Web)"/>
    <w:basedOn w:val="Normal"/>
    <w:uiPriority w:val="99"/>
    <w:semiHidden/>
    <w:unhideWhenUsed/>
    <w:rsid w:val="00F500B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F500BD"/>
    <w:pPr>
      <w:spacing w:before="40" w:after="40"/>
    </w:pPr>
    <w:rPr>
      <w:sz w:val="18"/>
    </w:rPr>
  </w:style>
  <w:style w:type="paragraph" w:customStyle="1" w:styleId="Footnote-Text">
    <w:name w:val="Footnote-Text"/>
    <w:basedOn w:val="Normal-pool"/>
    <w:rsid w:val="00F500BD"/>
    <w:pPr>
      <w:spacing w:before="20" w:after="40"/>
      <w:ind w:left="1247"/>
    </w:pPr>
    <w:rPr>
      <w:sz w:val="18"/>
    </w:rPr>
  </w:style>
  <w:style w:type="paragraph" w:customStyle="1" w:styleId="AConvName">
    <w:name w:val="A_ConvName"/>
    <w:basedOn w:val="Normal-pool"/>
    <w:next w:val="Normal-pool"/>
    <w:rsid w:val="00F500BD"/>
    <w:pPr>
      <w:spacing w:before="120" w:after="240"/>
    </w:pPr>
    <w:rPr>
      <w:rFonts w:ascii="Arial" w:hAnsi="Arial"/>
      <w:b/>
      <w:sz w:val="28"/>
    </w:rPr>
  </w:style>
  <w:style w:type="paragraph" w:customStyle="1" w:styleId="ASymbol">
    <w:name w:val="A_Symbol"/>
    <w:basedOn w:val="Normal-pool"/>
    <w:rsid w:val="00F500BD"/>
    <w:pPr>
      <w:tabs>
        <w:tab w:val="clear" w:pos="624"/>
        <w:tab w:val="clear" w:pos="1247"/>
        <w:tab w:val="right" w:pos="2920"/>
      </w:tabs>
    </w:pPr>
    <w:rPr>
      <w:rFonts w:eastAsia="SimSun"/>
    </w:rPr>
  </w:style>
  <w:style w:type="paragraph" w:customStyle="1" w:styleId="AText">
    <w:name w:val="A_Text"/>
    <w:basedOn w:val="Normal-pool"/>
    <w:rsid w:val="00F500BD"/>
    <w:pPr>
      <w:spacing w:before="120"/>
    </w:pPr>
  </w:style>
  <w:style w:type="paragraph" w:customStyle="1" w:styleId="ATwoLetters">
    <w:name w:val="A_TwoLetters"/>
    <w:basedOn w:val="Normal-pool"/>
    <w:next w:val="Normal-pool"/>
    <w:rsid w:val="00F500B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F500BD"/>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F500BD"/>
    <w:rPr>
      <w:rFonts w:ascii="Tahoma" w:hAnsi="Tahoma" w:cs="Tahoma"/>
      <w:sz w:val="16"/>
      <w:szCs w:val="16"/>
    </w:rPr>
  </w:style>
  <w:style w:type="character" w:customStyle="1" w:styleId="BalloonTextChar">
    <w:name w:val="Balloon Text Char"/>
    <w:basedOn w:val="DefaultParagraphFont"/>
    <w:link w:val="BalloonText"/>
    <w:rsid w:val="00F500BD"/>
    <w:rPr>
      <w:rFonts w:ascii="Tahoma" w:eastAsia="Times New Roman" w:hAnsi="Tahoma" w:cs="Tahoma"/>
      <w:sz w:val="16"/>
      <w:szCs w:val="16"/>
      <w:lang w:val="en-GB" w:eastAsia="en-US"/>
    </w:rPr>
  </w:style>
  <w:style w:type="character" w:styleId="CommentReference">
    <w:name w:val="annotation reference"/>
    <w:basedOn w:val="DefaultParagraphFont"/>
    <w:uiPriority w:val="99"/>
    <w:semiHidden/>
    <w:unhideWhenUsed/>
    <w:rsid w:val="00F500BD"/>
    <w:rPr>
      <w:sz w:val="16"/>
      <w:szCs w:val="16"/>
      <w:lang w:val="en-GB"/>
    </w:rPr>
  </w:style>
  <w:style w:type="paragraph" w:styleId="CommentText">
    <w:name w:val="annotation text"/>
    <w:basedOn w:val="Normal"/>
    <w:link w:val="CommentTextChar"/>
    <w:uiPriority w:val="99"/>
    <w:unhideWhenUsed/>
    <w:rsid w:val="00F500BD"/>
  </w:style>
  <w:style w:type="character" w:customStyle="1" w:styleId="CommentTextChar">
    <w:name w:val="Comment Text Char"/>
    <w:basedOn w:val="DefaultParagraphFont"/>
    <w:link w:val="CommentText"/>
    <w:uiPriority w:val="99"/>
    <w:rsid w:val="00F500BD"/>
    <w:rPr>
      <w:rFonts w:eastAsia="Times New Roman"/>
      <w:lang w:val="en-GB" w:eastAsia="en-US"/>
    </w:rPr>
  </w:style>
  <w:style w:type="paragraph" w:styleId="CommentSubject">
    <w:name w:val="annotation subject"/>
    <w:basedOn w:val="CommentText"/>
    <w:next w:val="CommentText"/>
    <w:link w:val="CommentSubjectChar"/>
    <w:semiHidden/>
    <w:unhideWhenUsed/>
    <w:rsid w:val="00F500BD"/>
    <w:rPr>
      <w:b/>
      <w:bCs/>
    </w:rPr>
  </w:style>
  <w:style w:type="character" w:customStyle="1" w:styleId="CommentSubjectChar">
    <w:name w:val="Comment Subject Char"/>
    <w:basedOn w:val="CommentTextChar"/>
    <w:link w:val="CommentSubject"/>
    <w:semiHidden/>
    <w:rsid w:val="00F500BD"/>
    <w:rPr>
      <w:rFonts w:eastAsia="Times New Roman"/>
      <w:b/>
      <w:bCs/>
      <w:lang w:val="en-GB" w:eastAsia="en-US"/>
    </w:rPr>
  </w:style>
  <w:style w:type="character" w:styleId="FollowedHyperlink">
    <w:name w:val="FollowedHyperlink"/>
    <w:uiPriority w:val="99"/>
    <w:semiHidden/>
    <w:rsid w:val="00F500BD"/>
    <w:rPr>
      <w:color w:val="0000FF"/>
      <w:u w:val="none"/>
      <w:lang w:val="en-GB"/>
    </w:rPr>
  </w:style>
  <w:style w:type="character" w:customStyle="1" w:styleId="FooterChar">
    <w:name w:val="Footer Char"/>
    <w:basedOn w:val="DefaultParagraphFont"/>
    <w:link w:val="CH4"/>
    <w:rsid w:val="00F500BD"/>
    <w:rPr>
      <w:rFonts w:eastAsia="Times New Roman"/>
      <w:b/>
      <w:lang w:val="en-GB" w:eastAsia="en-US"/>
    </w:rPr>
  </w:style>
  <w:style w:type="character" w:customStyle="1" w:styleId="HeaderChar">
    <w:name w:val="Header Char"/>
    <w:basedOn w:val="DefaultParagraphFont"/>
    <w:link w:val="Header"/>
    <w:semiHidden/>
    <w:rsid w:val="00F500BD"/>
    <w:rPr>
      <w:rFonts w:eastAsia="Times New Roman"/>
      <w:b/>
      <w:sz w:val="18"/>
      <w:lang w:val="en-GB" w:eastAsia="en-US"/>
    </w:rPr>
  </w:style>
  <w:style w:type="character" w:customStyle="1" w:styleId="Heading1Char">
    <w:name w:val="Heading 1 Char"/>
    <w:basedOn w:val="DefaultParagraphFont"/>
    <w:link w:val="Heading1"/>
    <w:rsid w:val="00F500BD"/>
    <w:rPr>
      <w:rFonts w:eastAsia="Times New Roman"/>
      <w:b/>
      <w:sz w:val="28"/>
      <w:szCs w:val="28"/>
      <w:lang w:val="en-GB" w:eastAsia="en-US"/>
    </w:rPr>
  </w:style>
  <w:style w:type="character" w:customStyle="1" w:styleId="Heading2Char">
    <w:name w:val="Heading 2 Char"/>
    <w:basedOn w:val="DefaultParagraphFont"/>
    <w:link w:val="Heading2"/>
    <w:rsid w:val="00F500BD"/>
    <w:rPr>
      <w:rFonts w:eastAsia="Times New Roman"/>
      <w:b/>
      <w:sz w:val="24"/>
      <w:szCs w:val="24"/>
      <w:lang w:val="en-GB" w:eastAsia="en-US"/>
    </w:rPr>
  </w:style>
  <w:style w:type="character" w:customStyle="1" w:styleId="Heading3Char">
    <w:name w:val="Heading 3 Char"/>
    <w:basedOn w:val="DefaultParagraphFont"/>
    <w:link w:val="Heading3"/>
    <w:rsid w:val="00F500BD"/>
    <w:rPr>
      <w:rFonts w:eastAsia="Times New Roman"/>
      <w:b/>
      <w:lang w:val="en-GB" w:eastAsia="en-US"/>
    </w:rPr>
  </w:style>
  <w:style w:type="character" w:customStyle="1" w:styleId="Heading4Char">
    <w:name w:val="Heading 4 Char"/>
    <w:basedOn w:val="DefaultParagraphFont"/>
    <w:link w:val="Heading4"/>
    <w:rsid w:val="00F500BD"/>
    <w:rPr>
      <w:rFonts w:eastAsia="Times New Roman"/>
      <w:b/>
      <w:lang w:val="en-GB" w:eastAsia="en-US"/>
    </w:rPr>
  </w:style>
  <w:style w:type="character" w:customStyle="1" w:styleId="Heading5Char">
    <w:name w:val="Heading 5 Char"/>
    <w:basedOn w:val="DefaultParagraphFont"/>
    <w:link w:val="Heading5"/>
    <w:rsid w:val="00F500BD"/>
    <w:rPr>
      <w:rFonts w:eastAsia="Times New Roman"/>
      <w:b/>
      <w:lang w:val="en-GB" w:eastAsia="en-US"/>
    </w:rPr>
  </w:style>
  <w:style w:type="character" w:customStyle="1" w:styleId="Heading6Char">
    <w:name w:val="Heading 6 Char"/>
    <w:basedOn w:val="DefaultParagraphFont"/>
    <w:link w:val="Heading6"/>
    <w:semiHidden/>
    <w:rsid w:val="00F500BD"/>
    <w:rPr>
      <w:rFonts w:eastAsia="Times New Roman"/>
      <w:bCs/>
      <w:sz w:val="24"/>
      <w:lang w:val="en-GB" w:eastAsia="en-US"/>
    </w:rPr>
  </w:style>
  <w:style w:type="character" w:customStyle="1" w:styleId="Heading7Char">
    <w:name w:val="Heading 7 Char"/>
    <w:basedOn w:val="DefaultParagraphFont"/>
    <w:link w:val="Heading7"/>
    <w:semiHidden/>
    <w:rsid w:val="00F500BD"/>
    <w:rPr>
      <w:rFonts w:eastAsia="Times New Roman"/>
      <w:b/>
      <w:snapToGrid w:val="0"/>
      <w:u w:val="single"/>
      <w:lang w:val="en-GB" w:eastAsia="en-US"/>
    </w:rPr>
  </w:style>
  <w:style w:type="character" w:customStyle="1" w:styleId="Heading8Char">
    <w:name w:val="Heading 8 Char"/>
    <w:basedOn w:val="DefaultParagraphFont"/>
    <w:link w:val="Heading8"/>
    <w:semiHidden/>
    <w:rsid w:val="00F500BD"/>
    <w:rPr>
      <w:rFonts w:eastAsia="Times New Roman"/>
      <w:b/>
      <w:snapToGrid w:val="0"/>
      <w:u w:val="single"/>
      <w:lang w:val="en-GB" w:eastAsia="en-US"/>
    </w:rPr>
  </w:style>
  <w:style w:type="character" w:customStyle="1" w:styleId="Heading9Char">
    <w:name w:val="Heading 9 Char"/>
    <w:basedOn w:val="DefaultParagraphFont"/>
    <w:link w:val="Heading9"/>
    <w:semiHidden/>
    <w:rsid w:val="00F500BD"/>
    <w:rPr>
      <w:rFonts w:eastAsia="Times New Roman"/>
      <w:snapToGrid w:val="0"/>
      <w:u w:val="single"/>
      <w:lang w:val="en-GB" w:eastAsia="en-US"/>
    </w:rPr>
  </w:style>
  <w:style w:type="paragraph" w:styleId="ListParagraph">
    <w:name w:val="List Paragraph"/>
    <w:basedOn w:val="Normal"/>
    <w:uiPriority w:val="34"/>
    <w:semiHidden/>
    <w:qFormat/>
    <w:rsid w:val="00F500BD"/>
    <w:pPr>
      <w:ind w:left="720"/>
      <w:contextualSpacing/>
    </w:pPr>
  </w:style>
  <w:style w:type="paragraph" w:styleId="NoSpacing">
    <w:name w:val="No Spacing"/>
    <w:uiPriority w:val="1"/>
    <w:semiHidden/>
    <w:qFormat/>
    <w:rsid w:val="00F500BD"/>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F500BD"/>
    <w:rPr>
      <w:rFonts w:eastAsia="Times New Roman"/>
      <w:lang w:val="en-GB" w:eastAsia="en-US"/>
    </w:rPr>
  </w:style>
  <w:style w:type="character" w:styleId="PlaceholderText">
    <w:name w:val="Placeholder Text"/>
    <w:basedOn w:val="DefaultParagraphFont"/>
    <w:uiPriority w:val="99"/>
    <w:semiHidden/>
    <w:rsid w:val="00F500BD"/>
    <w:rPr>
      <w:color w:val="808080"/>
      <w:lang w:val="en-GB"/>
    </w:rPr>
  </w:style>
  <w:style w:type="table" w:styleId="TableGrid">
    <w:name w:val="Table Grid"/>
    <w:basedOn w:val="TableNormal"/>
    <w:rsid w:val="00F50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F500BD"/>
    <w:pPr>
      <w:spacing w:before="120" w:after="240"/>
    </w:pPr>
  </w:style>
  <w:style w:type="character" w:customStyle="1" w:styleId="ALogoChar">
    <w:name w:val="A_Logo Char"/>
    <w:basedOn w:val="DefaultParagraphFont"/>
    <w:link w:val="ALogo"/>
    <w:rsid w:val="00F500BD"/>
    <w:rPr>
      <w:rFonts w:eastAsia="Times New Roman"/>
      <w:lang w:val="en-GB" w:eastAsia="en-US"/>
    </w:rPr>
  </w:style>
  <w:style w:type="paragraph" w:customStyle="1" w:styleId="ASpacer">
    <w:name w:val="A_Spacer"/>
    <w:basedOn w:val="Normal-pool"/>
    <w:link w:val="ASpacerChar"/>
    <w:rsid w:val="00F500BD"/>
    <w:rPr>
      <w:sz w:val="2"/>
    </w:rPr>
  </w:style>
  <w:style w:type="character" w:customStyle="1" w:styleId="ASpacerChar">
    <w:name w:val="A_Spacer Char"/>
    <w:basedOn w:val="DefaultParagraphFont"/>
    <w:link w:val="ASpacer"/>
    <w:rsid w:val="00F500BD"/>
    <w:rPr>
      <w:rFonts w:eastAsia="Times New Roman"/>
      <w:sz w:val="2"/>
      <w:lang w:val="en-GB" w:eastAsia="en-US"/>
    </w:rPr>
  </w:style>
  <w:style w:type="paragraph" w:customStyle="1" w:styleId="AATitle1">
    <w:name w:val="AA_Title1"/>
    <w:basedOn w:val="Normal-pool"/>
    <w:rsid w:val="00F500BD"/>
  </w:style>
  <w:style w:type="character" w:styleId="UnresolvedMention">
    <w:name w:val="Unresolved Mention"/>
    <w:basedOn w:val="DefaultParagraphFont"/>
    <w:uiPriority w:val="99"/>
    <w:semiHidden/>
    <w:rsid w:val="00F500BD"/>
    <w:rPr>
      <w:color w:val="605E5C"/>
      <w:shd w:val="clear" w:color="auto" w:fill="E1DFDD"/>
      <w:lang w:val="en-GB"/>
    </w:rPr>
  </w:style>
  <w:style w:type="paragraph" w:customStyle="1" w:styleId="ANormal">
    <w:name w:val="A_Normal"/>
    <w:basedOn w:val="Normal-pool"/>
    <w:rsid w:val="00F500BD"/>
  </w:style>
  <w:style w:type="paragraph" w:customStyle="1" w:styleId="AText0">
    <w:name w:val="A_Text0"/>
    <w:basedOn w:val="AText"/>
    <w:next w:val="AText"/>
    <w:rsid w:val="00F500BD"/>
    <w:pPr>
      <w:tabs>
        <w:tab w:val="clear" w:pos="4990"/>
      </w:tabs>
      <w:spacing w:before="0" w:after="120"/>
    </w:pPr>
  </w:style>
  <w:style w:type="paragraph" w:styleId="Footer">
    <w:name w:val="footer"/>
    <w:basedOn w:val="Normal"/>
    <w:link w:val="FooterChar1"/>
    <w:unhideWhenUsed/>
    <w:rsid w:val="00F500BD"/>
    <w:pPr>
      <w:tabs>
        <w:tab w:val="clear" w:pos="1247"/>
        <w:tab w:val="right" w:pos="8641"/>
      </w:tabs>
    </w:pPr>
    <w:rPr>
      <w:b/>
      <w:sz w:val="18"/>
    </w:rPr>
  </w:style>
  <w:style w:type="character" w:customStyle="1" w:styleId="FooterChar1">
    <w:name w:val="Footer Char1"/>
    <w:basedOn w:val="DefaultParagraphFont"/>
    <w:link w:val="Footer"/>
    <w:rsid w:val="00F500BD"/>
    <w:rPr>
      <w:rFonts w:eastAsia="Times New Roman"/>
      <w:b/>
      <w:sz w:val="18"/>
      <w:lang w:val="en-GB" w:eastAsia="en-US"/>
    </w:rPr>
  </w:style>
  <w:style w:type="paragraph" w:customStyle="1" w:styleId="Normal-pool">
    <w:name w:val="Normal-pool"/>
    <w:link w:val="Normal-poolChar"/>
    <w:qFormat/>
    <w:rsid w:val="00F500BD"/>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F500BD"/>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F500BD"/>
    <w:pPr>
      <w:spacing w:before="60"/>
      <w:ind w:left="624"/>
    </w:pPr>
    <w:rPr>
      <w:rFonts w:eastAsiaTheme="minorEastAsia"/>
      <w:sz w:val="18"/>
    </w:rPr>
  </w:style>
  <w:style w:type="paragraph" w:styleId="Bibliography">
    <w:name w:val="Bibliography"/>
    <w:basedOn w:val="Normal"/>
    <w:next w:val="Normal"/>
    <w:uiPriority w:val="37"/>
    <w:semiHidden/>
    <w:rsid w:val="00F500BD"/>
  </w:style>
  <w:style w:type="paragraph" w:styleId="BlockText">
    <w:name w:val="Block Text"/>
    <w:basedOn w:val="Normal"/>
    <w:semiHidden/>
    <w:unhideWhenUsed/>
    <w:rsid w:val="00F500B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F500BD"/>
    <w:pPr>
      <w:spacing w:after="120"/>
    </w:pPr>
  </w:style>
  <w:style w:type="character" w:customStyle="1" w:styleId="BodyTextChar">
    <w:name w:val="Body Text Char"/>
    <w:basedOn w:val="DefaultParagraphFont"/>
    <w:link w:val="BodyText"/>
    <w:semiHidden/>
    <w:rsid w:val="00F500BD"/>
    <w:rPr>
      <w:rFonts w:eastAsia="Times New Roman"/>
      <w:lang w:val="en-GB" w:eastAsia="en-US"/>
    </w:rPr>
  </w:style>
  <w:style w:type="paragraph" w:styleId="BodyText2">
    <w:name w:val="Body Text 2"/>
    <w:basedOn w:val="Normal"/>
    <w:link w:val="BodyText2Char"/>
    <w:semiHidden/>
    <w:unhideWhenUsed/>
    <w:rsid w:val="00F500BD"/>
    <w:pPr>
      <w:spacing w:after="120" w:line="480" w:lineRule="auto"/>
    </w:pPr>
  </w:style>
  <w:style w:type="character" w:customStyle="1" w:styleId="BodyText2Char">
    <w:name w:val="Body Text 2 Char"/>
    <w:basedOn w:val="DefaultParagraphFont"/>
    <w:link w:val="BodyText2"/>
    <w:semiHidden/>
    <w:rsid w:val="00F500BD"/>
    <w:rPr>
      <w:rFonts w:eastAsia="Times New Roman"/>
      <w:lang w:val="en-GB" w:eastAsia="en-US"/>
    </w:rPr>
  </w:style>
  <w:style w:type="paragraph" w:styleId="BodyText3">
    <w:name w:val="Body Text 3"/>
    <w:basedOn w:val="Normal"/>
    <w:link w:val="BodyText3Char"/>
    <w:semiHidden/>
    <w:unhideWhenUsed/>
    <w:rsid w:val="00F500BD"/>
    <w:pPr>
      <w:spacing w:after="120"/>
    </w:pPr>
    <w:rPr>
      <w:sz w:val="16"/>
      <w:szCs w:val="16"/>
    </w:rPr>
  </w:style>
  <w:style w:type="character" w:customStyle="1" w:styleId="BodyText3Char">
    <w:name w:val="Body Text 3 Char"/>
    <w:basedOn w:val="DefaultParagraphFont"/>
    <w:link w:val="BodyText3"/>
    <w:semiHidden/>
    <w:rsid w:val="00F500BD"/>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F500BD"/>
    <w:pPr>
      <w:spacing w:after="0"/>
      <w:ind w:firstLine="360"/>
    </w:pPr>
  </w:style>
  <w:style w:type="character" w:customStyle="1" w:styleId="BodyTextFirstIndentChar">
    <w:name w:val="Body Text First Indent Char"/>
    <w:basedOn w:val="BodyTextChar"/>
    <w:link w:val="BodyTextFirstIndent"/>
    <w:semiHidden/>
    <w:rsid w:val="00F500BD"/>
    <w:rPr>
      <w:rFonts w:eastAsia="Times New Roman"/>
      <w:lang w:val="en-GB" w:eastAsia="en-US"/>
    </w:rPr>
  </w:style>
  <w:style w:type="paragraph" w:styleId="BodyTextIndent">
    <w:name w:val="Body Text Indent"/>
    <w:basedOn w:val="Normal"/>
    <w:link w:val="BodyTextIndentChar"/>
    <w:semiHidden/>
    <w:unhideWhenUsed/>
    <w:rsid w:val="00F500BD"/>
    <w:pPr>
      <w:spacing w:after="120"/>
      <w:ind w:left="283"/>
    </w:pPr>
  </w:style>
  <w:style w:type="character" w:customStyle="1" w:styleId="BodyTextIndentChar">
    <w:name w:val="Body Text Indent Char"/>
    <w:basedOn w:val="DefaultParagraphFont"/>
    <w:link w:val="BodyTextIndent"/>
    <w:semiHidden/>
    <w:rsid w:val="00F500BD"/>
    <w:rPr>
      <w:rFonts w:eastAsia="Times New Roman"/>
      <w:lang w:val="en-GB" w:eastAsia="en-US"/>
    </w:rPr>
  </w:style>
  <w:style w:type="paragraph" w:styleId="BodyTextFirstIndent2">
    <w:name w:val="Body Text First Indent 2"/>
    <w:basedOn w:val="BodyTextIndent"/>
    <w:link w:val="BodyTextFirstIndent2Char"/>
    <w:semiHidden/>
    <w:unhideWhenUsed/>
    <w:rsid w:val="00F500BD"/>
    <w:pPr>
      <w:spacing w:after="0"/>
      <w:ind w:left="360" w:firstLine="360"/>
    </w:pPr>
  </w:style>
  <w:style w:type="character" w:customStyle="1" w:styleId="BodyTextFirstIndent2Char">
    <w:name w:val="Body Text First Indent 2 Char"/>
    <w:basedOn w:val="BodyTextIndentChar"/>
    <w:link w:val="BodyTextFirstIndent2"/>
    <w:semiHidden/>
    <w:rsid w:val="00F500BD"/>
    <w:rPr>
      <w:rFonts w:eastAsia="Times New Roman"/>
      <w:lang w:val="en-GB" w:eastAsia="en-US"/>
    </w:rPr>
  </w:style>
  <w:style w:type="paragraph" w:styleId="BodyTextIndent2">
    <w:name w:val="Body Text Indent 2"/>
    <w:basedOn w:val="Normal"/>
    <w:link w:val="BodyTextIndent2Char"/>
    <w:semiHidden/>
    <w:unhideWhenUsed/>
    <w:rsid w:val="00F500BD"/>
    <w:pPr>
      <w:spacing w:after="120" w:line="480" w:lineRule="auto"/>
      <w:ind w:left="283"/>
    </w:pPr>
  </w:style>
  <w:style w:type="character" w:customStyle="1" w:styleId="BodyTextIndent2Char">
    <w:name w:val="Body Text Indent 2 Char"/>
    <w:basedOn w:val="DefaultParagraphFont"/>
    <w:link w:val="BodyTextIndent2"/>
    <w:semiHidden/>
    <w:rsid w:val="00F500BD"/>
    <w:rPr>
      <w:rFonts w:eastAsia="Times New Roman"/>
      <w:lang w:val="en-GB" w:eastAsia="en-US"/>
    </w:rPr>
  </w:style>
  <w:style w:type="paragraph" w:styleId="BodyTextIndent3">
    <w:name w:val="Body Text Indent 3"/>
    <w:basedOn w:val="Normal"/>
    <w:link w:val="BodyTextIndent3Char"/>
    <w:semiHidden/>
    <w:unhideWhenUsed/>
    <w:rsid w:val="00F500BD"/>
    <w:pPr>
      <w:spacing w:after="120"/>
      <w:ind w:left="283"/>
    </w:pPr>
    <w:rPr>
      <w:sz w:val="16"/>
      <w:szCs w:val="16"/>
    </w:rPr>
  </w:style>
  <w:style w:type="character" w:customStyle="1" w:styleId="BodyTextIndent3Char">
    <w:name w:val="Body Text Indent 3 Char"/>
    <w:basedOn w:val="DefaultParagraphFont"/>
    <w:link w:val="BodyTextIndent3"/>
    <w:semiHidden/>
    <w:rsid w:val="00F500BD"/>
    <w:rPr>
      <w:rFonts w:eastAsia="Times New Roman"/>
      <w:sz w:val="16"/>
      <w:szCs w:val="16"/>
      <w:lang w:val="en-GB" w:eastAsia="en-US"/>
    </w:rPr>
  </w:style>
  <w:style w:type="character" w:styleId="BookTitle">
    <w:name w:val="Book Title"/>
    <w:basedOn w:val="DefaultParagraphFont"/>
    <w:uiPriority w:val="33"/>
    <w:semiHidden/>
    <w:qFormat/>
    <w:rsid w:val="00F500BD"/>
    <w:rPr>
      <w:b/>
      <w:bCs/>
      <w:i/>
      <w:iCs/>
      <w:spacing w:val="5"/>
      <w:lang w:val="en-GB"/>
    </w:rPr>
  </w:style>
  <w:style w:type="paragraph" w:styleId="Caption">
    <w:name w:val="caption"/>
    <w:basedOn w:val="Normal"/>
    <w:next w:val="Normal"/>
    <w:semiHidden/>
    <w:unhideWhenUsed/>
    <w:qFormat/>
    <w:rsid w:val="00F500BD"/>
    <w:pPr>
      <w:spacing w:after="200"/>
    </w:pPr>
    <w:rPr>
      <w:i/>
      <w:iCs/>
      <w:color w:val="1F497D" w:themeColor="text2"/>
      <w:sz w:val="18"/>
      <w:szCs w:val="18"/>
    </w:rPr>
  </w:style>
  <w:style w:type="paragraph" w:styleId="Closing">
    <w:name w:val="Closing"/>
    <w:basedOn w:val="Normal"/>
    <w:link w:val="ClosingChar"/>
    <w:semiHidden/>
    <w:unhideWhenUsed/>
    <w:rsid w:val="00F500BD"/>
    <w:pPr>
      <w:ind w:left="4252"/>
    </w:pPr>
  </w:style>
  <w:style w:type="character" w:customStyle="1" w:styleId="ClosingChar">
    <w:name w:val="Closing Char"/>
    <w:basedOn w:val="DefaultParagraphFont"/>
    <w:link w:val="Closing"/>
    <w:semiHidden/>
    <w:rsid w:val="00F500BD"/>
    <w:rPr>
      <w:rFonts w:eastAsia="Times New Roman"/>
      <w:lang w:val="en-GB" w:eastAsia="en-US"/>
    </w:rPr>
  </w:style>
  <w:style w:type="table" w:styleId="ColorfulGrid">
    <w:name w:val="Colorful Grid"/>
    <w:basedOn w:val="TableNormal"/>
    <w:uiPriority w:val="73"/>
    <w:semiHidden/>
    <w:unhideWhenUsed/>
    <w:rsid w:val="00F500B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500B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F500BD"/>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F500BD"/>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F500BD"/>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F500BD"/>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F500B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F500B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500B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F500B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F500B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F500B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F500B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F500B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F500B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500BD"/>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500BD"/>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500BD"/>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F500BD"/>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500BD"/>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500BD"/>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500B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500B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F500B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F500B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F500B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F500B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F500B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F500BD"/>
  </w:style>
  <w:style w:type="character" w:customStyle="1" w:styleId="DateChar">
    <w:name w:val="Date Char"/>
    <w:basedOn w:val="DefaultParagraphFont"/>
    <w:link w:val="Date"/>
    <w:semiHidden/>
    <w:rsid w:val="00F500BD"/>
    <w:rPr>
      <w:rFonts w:eastAsia="Times New Roman"/>
      <w:lang w:val="en-GB" w:eastAsia="en-US"/>
    </w:rPr>
  </w:style>
  <w:style w:type="paragraph" w:styleId="DocumentMap">
    <w:name w:val="Document Map"/>
    <w:basedOn w:val="Normal"/>
    <w:link w:val="DocumentMapChar"/>
    <w:semiHidden/>
    <w:unhideWhenUsed/>
    <w:rsid w:val="00F500BD"/>
    <w:rPr>
      <w:rFonts w:ascii="Segoe UI" w:hAnsi="Segoe UI" w:cs="Segoe UI"/>
      <w:sz w:val="16"/>
      <w:szCs w:val="16"/>
    </w:rPr>
  </w:style>
  <w:style w:type="character" w:customStyle="1" w:styleId="DocumentMapChar">
    <w:name w:val="Document Map Char"/>
    <w:basedOn w:val="DefaultParagraphFont"/>
    <w:link w:val="DocumentMap"/>
    <w:semiHidden/>
    <w:rsid w:val="00F500BD"/>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F500BD"/>
  </w:style>
  <w:style w:type="character" w:customStyle="1" w:styleId="E-mailSignatureChar">
    <w:name w:val="E-mail Signature Char"/>
    <w:basedOn w:val="DefaultParagraphFont"/>
    <w:link w:val="E-mailSignature"/>
    <w:semiHidden/>
    <w:rsid w:val="00F500BD"/>
    <w:rPr>
      <w:rFonts w:eastAsia="Times New Roman"/>
      <w:lang w:val="en-GB" w:eastAsia="en-US"/>
    </w:rPr>
  </w:style>
  <w:style w:type="character" w:styleId="Emphasis">
    <w:name w:val="Emphasis"/>
    <w:basedOn w:val="DefaultParagraphFont"/>
    <w:semiHidden/>
    <w:qFormat/>
    <w:rsid w:val="00F500BD"/>
    <w:rPr>
      <w:i/>
      <w:iCs/>
      <w:lang w:val="en-GB"/>
    </w:rPr>
  </w:style>
  <w:style w:type="character" w:styleId="EndnoteReference">
    <w:name w:val="endnote reference"/>
    <w:basedOn w:val="DefaultParagraphFont"/>
    <w:semiHidden/>
    <w:unhideWhenUsed/>
    <w:rsid w:val="00F500BD"/>
    <w:rPr>
      <w:vertAlign w:val="superscript"/>
      <w:lang w:val="en-GB"/>
    </w:rPr>
  </w:style>
  <w:style w:type="paragraph" w:styleId="EndnoteText">
    <w:name w:val="endnote text"/>
    <w:basedOn w:val="Normal"/>
    <w:link w:val="EndnoteTextChar"/>
    <w:semiHidden/>
    <w:unhideWhenUsed/>
    <w:rsid w:val="00F500BD"/>
  </w:style>
  <w:style w:type="character" w:customStyle="1" w:styleId="EndnoteTextChar">
    <w:name w:val="Endnote Text Char"/>
    <w:basedOn w:val="DefaultParagraphFont"/>
    <w:link w:val="EndnoteText"/>
    <w:semiHidden/>
    <w:rsid w:val="00F500BD"/>
    <w:rPr>
      <w:rFonts w:eastAsia="Times New Roman"/>
      <w:lang w:val="en-GB" w:eastAsia="en-US"/>
    </w:rPr>
  </w:style>
  <w:style w:type="paragraph" w:styleId="EnvelopeAddress">
    <w:name w:val="envelope address"/>
    <w:basedOn w:val="Normal"/>
    <w:semiHidden/>
    <w:unhideWhenUsed/>
    <w:rsid w:val="00F500B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F500BD"/>
    <w:rPr>
      <w:rFonts w:asciiTheme="majorHAnsi" w:eastAsiaTheme="majorEastAsia" w:hAnsiTheme="majorHAnsi" w:cstheme="majorBidi"/>
    </w:rPr>
  </w:style>
  <w:style w:type="paragraph" w:styleId="FootnoteText">
    <w:name w:val="footnote text"/>
    <w:basedOn w:val="Normal"/>
    <w:link w:val="FootnoteTextChar"/>
    <w:semiHidden/>
    <w:unhideWhenUsed/>
    <w:rsid w:val="00F500BD"/>
  </w:style>
  <w:style w:type="character" w:customStyle="1" w:styleId="FootnoteTextChar">
    <w:name w:val="Footnote Text Char"/>
    <w:basedOn w:val="DefaultParagraphFont"/>
    <w:link w:val="FootnoteText"/>
    <w:semiHidden/>
    <w:rsid w:val="00F500BD"/>
    <w:rPr>
      <w:rFonts w:eastAsia="Times New Roman"/>
      <w:lang w:val="en-GB" w:eastAsia="en-US"/>
    </w:rPr>
  </w:style>
  <w:style w:type="table" w:styleId="GridTable1Light">
    <w:name w:val="Grid Table 1 Light"/>
    <w:basedOn w:val="TableNormal"/>
    <w:uiPriority w:val="46"/>
    <w:rsid w:val="00F500B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500B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500BD"/>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500BD"/>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500BD"/>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500BD"/>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500BD"/>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500B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500B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F500BD"/>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F500BD"/>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F500BD"/>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F500BD"/>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F500BD"/>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F500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500B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F500B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F500B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F500B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F500B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F500B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F500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500B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F500B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F500B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F500B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F500B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F500B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F500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500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F500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F500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F500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F500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F500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F500B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500BD"/>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F500BD"/>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F500BD"/>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F500BD"/>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F500BD"/>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F500BD"/>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F500B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500BD"/>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F500BD"/>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F500BD"/>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F500BD"/>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F500BD"/>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F500BD"/>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F500BD"/>
    <w:rPr>
      <w:color w:val="2B579A"/>
      <w:shd w:val="clear" w:color="auto" w:fill="E1DFDD"/>
      <w:lang w:val="en-GB"/>
    </w:rPr>
  </w:style>
  <w:style w:type="character" w:styleId="HTMLAcronym">
    <w:name w:val="HTML Acronym"/>
    <w:basedOn w:val="DefaultParagraphFont"/>
    <w:semiHidden/>
    <w:unhideWhenUsed/>
    <w:rsid w:val="00F500BD"/>
    <w:rPr>
      <w:lang w:val="en-GB"/>
    </w:rPr>
  </w:style>
  <w:style w:type="paragraph" w:styleId="HTMLAddress">
    <w:name w:val="HTML Address"/>
    <w:basedOn w:val="Normal"/>
    <w:link w:val="HTMLAddressChar"/>
    <w:semiHidden/>
    <w:unhideWhenUsed/>
    <w:rsid w:val="00F500BD"/>
    <w:rPr>
      <w:i/>
      <w:iCs/>
    </w:rPr>
  </w:style>
  <w:style w:type="character" w:customStyle="1" w:styleId="HTMLAddressChar">
    <w:name w:val="HTML Address Char"/>
    <w:basedOn w:val="DefaultParagraphFont"/>
    <w:link w:val="HTMLAddress"/>
    <w:semiHidden/>
    <w:rsid w:val="00F500BD"/>
    <w:rPr>
      <w:rFonts w:eastAsia="Times New Roman"/>
      <w:i/>
      <w:iCs/>
      <w:lang w:val="en-GB" w:eastAsia="en-US"/>
    </w:rPr>
  </w:style>
  <w:style w:type="character" w:styleId="HTMLCite">
    <w:name w:val="HTML Cite"/>
    <w:basedOn w:val="DefaultParagraphFont"/>
    <w:semiHidden/>
    <w:unhideWhenUsed/>
    <w:rsid w:val="00F500BD"/>
    <w:rPr>
      <w:i/>
      <w:iCs/>
      <w:lang w:val="en-GB"/>
    </w:rPr>
  </w:style>
  <w:style w:type="character" w:styleId="HTMLCode">
    <w:name w:val="HTML Code"/>
    <w:basedOn w:val="DefaultParagraphFont"/>
    <w:semiHidden/>
    <w:unhideWhenUsed/>
    <w:rsid w:val="00F500BD"/>
    <w:rPr>
      <w:rFonts w:ascii="Consolas" w:hAnsi="Consolas" w:cs="Consolas"/>
      <w:sz w:val="20"/>
      <w:szCs w:val="20"/>
      <w:lang w:val="en-GB"/>
    </w:rPr>
  </w:style>
  <w:style w:type="character" w:styleId="HTMLDefinition">
    <w:name w:val="HTML Definition"/>
    <w:basedOn w:val="DefaultParagraphFont"/>
    <w:semiHidden/>
    <w:unhideWhenUsed/>
    <w:rsid w:val="00F500BD"/>
    <w:rPr>
      <w:i/>
      <w:iCs/>
      <w:lang w:val="en-GB"/>
    </w:rPr>
  </w:style>
  <w:style w:type="character" w:styleId="HTMLKeyboard">
    <w:name w:val="HTML Keyboard"/>
    <w:basedOn w:val="DefaultParagraphFont"/>
    <w:semiHidden/>
    <w:unhideWhenUsed/>
    <w:rsid w:val="00F500BD"/>
    <w:rPr>
      <w:rFonts w:ascii="Consolas" w:hAnsi="Consolas" w:cs="Consolas"/>
      <w:sz w:val="20"/>
      <w:szCs w:val="20"/>
      <w:lang w:val="en-GB"/>
    </w:rPr>
  </w:style>
  <w:style w:type="paragraph" w:styleId="HTMLPreformatted">
    <w:name w:val="HTML Preformatted"/>
    <w:basedOn w:val="Normal"/>
    <w:link w:val="HTMLPreformattedChar"/>
    <w:semiHidden/>
    <w:unhideWhenUsed/>
    <w:rsid w:val="00F500BD"/>
    <w:rPr>
      <w:rFonts w:ascii="Consolas" w:hAnsi="Consolas" w:cs="Consolas"/>
    </w:rPr>
  </w:style>
  <w:style w:type="character" w:customStyle="1" w:styleId="HTMLPreformattedChar">
    <w:name w:val="HTML Preformatted Char"/>
    <w:basedOn w:val="DefaultParagraphFont"/>
    <w:link w:val="HTMLPreformatted"/>
    <w:semiHidden/>
    <w:rsid w:val="00F500BD"/>
    <w:rPr>
      <w:rFonts w:ascii="Consolas" w:eastAsia="Times New Roman" w:hAnsi="Consolas" w:cs="Consolas"/>
      <w:lang w:val="en-GB" w:eastAsia="en-US"/>
    </w:rPr>
  </w:style>
  <w:style w:type="character" w:styleId="HTMLSample">
    <w:name w:val="HTML Sample"/>
    <w:basedOn w:val="DefaultParagraphFont"/>
    <w:semiHidden/>
    <w:unhideWhenUsed/>
    <w:rsid w:val="00F500BD"/>
    <w:rPr>
      <w:rFonts w:ascii="Consolas" w:hAnsi="Consolas" w:cs="Consolas"/>
      <w:sz w:val="24"/>
      <w:szCs w:val="24"/>
      <w:lang w:val="en-GB"/>
    </w:rPr>
  </w:style>
  <w:style w:type="character" w:styleId="HTMLTypewriter">
    <w:name w:val="HTML Typewriter"/>
    <w:basedOn w:val="DefaultParagraphFont"/>
    <w:semiHidden/>
    <w:unhideWhenUsed/>
    <w:rsid w:val="00F500BD"/>
    <w:rPr>
      <w:rFonts w:ascii="Consolas" w:hAnsi="Consolas" w:cs="Consolas"/>
      <w:sz w:val="20"/>
      <w:szCs w:val="20"/>
      <w:lang w:val="en-GB"/>
    </w:rPr>
  </w:style>
  <w:style w:type="character" w:styleId="HTMLVariable">
    <w:name w:val="HTML Variable"/>
    <w:basedOn w:val="DefaultParagraphFont"/>
    <w:semiHidden/>
    <w:unhideWhenUsed/>
    <w:rsid w:val="00F500BD"/>
    <w:rPr>
      <w:i/>
      <w:iCs/>
      <w:lang w:val="en-GB"/>
    </w:rPr>
  </w:style>
  <w:style w:type="paragraph" w:styleId="Index1">
    <w:name w:val="index 1"/>
    <w:basedOn w:val="Normal"/>
    <w:next w:val="Normal"/>
    <w:autoRedefine/>
    <w:semiHidden/>
    <w:unhideWhenUsed/>
    <w:rsid w:val="00F500BD"/>
    <w:pPr>
      <w:tabs>
        <w:tab w:val="clear" w:pos="1247"/>
      </w:tabs>
      <w:ind w:left="200" w:hanging="200"/>
    </w:pPr>
  </w:style>
  <w:style w:type="paragraph" w:styleId="Index2">
    <w:name w:val="index 2"/>
    <w:basedOn w:val="Normal"/>
    <w:next w:val="Normal"/>
    <w:autoRedefine/>
    <w:semiHidden/>
    <w:unhideWhenUsed/>
    <w:rsid w:val="00F500BD"/>
    <w:pPr>
      <w:tabs>
        <w:tab w:val="clear" w:pos="1247"/>
      </w:tabs>
      <w:ind w:left="400" w:hanging="200"/>
    </w:pPr>
  </w:style>
  <w:style w:type="paragraph" w:styleId="Index3">
    <w:name w:val="index 3"/>
    <w:basedOn w:val="Normal"/>
    <w:next w:val="Normal"/>
    <w:autoRedefine/>
    <w:semiHidden/>
    <w:unhideWhenUsed/>
    <w:rsid w:val="00F500BD"/>
    <w:pPr>
      <w:tabs>
        <w:tab w:val="clear" w:pos="1247"/>
      </w:tabs>
      <w:ind w:left="600" w:hanging="200"/>
    </w:pPr>
  </w:style>
  <w:style w:type="paragraph" w:styleId="Index4">
    <w:name w:val="index 4"/>
    <w:basedOn w:val="Normal"/>
    <w:next w:val="Normal"/>
    <w:autoRedefine/>
    <w:semiHidden/>
    <w:unhideWhenUsed/>
    <w:rsid w:val="00F500BD"/>
    <w:pPr>
      <w:tabs>
        <w:tab w:val="clear" w:pos="1247"/>
      </w:tabs>
      <w:ind w:left="800" w:hanging="200"/>
    </w:pPr>
  </w:style>
  <w:style w:type="paragraph" w:styleId="Index5">
    <w:name w:val="index 5"/>
    <w:basedOn w:val="Normal"/>
    <w:next w:val="Normal"/>
    <w:autoRedefine/>
    <w:semiHidden/>
    <w:unhideWhenUsed/>
    <w:rsid w:val="00F500BD"/>
    <w:pPr>
      <w:tabs>
        <w:tab w:val="clear" w:pos="1247"/>
      </w:tabs>
      <w:ind w:left="1000" w:hanging="200"/>
    </w:pPr>
  </w:style>
  <w:style w:type="paragraph" w:styleId="Index6">
    <w:name w:val="index 6"/>
    <w:basedOn w:val="Normal"/>
    <w:next w:val="Normal"/>
    <w:autoRedefine/>
    <w:semiHidden/>
    <w:unhideWhenUsed/>
    <w:rsid w:val="00F500BD"/>
    <w:pPr>
      <w:tabs>
        <w:tab w:val="clear" w:pos="1247"/>
      </w:tabs>
      <w:ind w:left="1200" w:hanging="200"/>
    </w:pPr>
  </w:style>
  <w:style w:type="paragraph" w:styleId="Index7">
    <w:name w:val="index 7"/>
    <w:basedOn w:val="Normal"/>
    <w:next w:val="Normal"/>
    <w:autoRedefine/>
    <w:semiHidden/>
    <w:unhideWhenUsed/>
    <w:rsid w:val="00F500BD"/>
    <w:pPr>
      <w:tabs>
        <w:tab w:val="clear" w:pos="1247"/>
      </w:tabs>
      <w:ind w:left="1400" w:hanging="200"/>
    </w:pPr>
  </w:style>
  <w:style w:type="paragraph" w:styleId="Index8">
    <w:name w:val="index 8"/>
    <w:basedOn w:val="Normal"/>
    <w:next w:val="Normal"/>
    <w:autoRedefine/>
    <w:semiHidden/>
    <w:unhideWhenUsed/>
    <w:rsid w:val="00F500BD"/>
    <w:pPr>
      <w:tabs>
        <w:tab w:val="clear" w:pos="1247"/>
      </w:tabs>
      <w:ind w:left="1600" w:hanging="200"/>
    </w:pPr>
  </w:style>
  <w:style w:type="paragraph" w:styleId="Index9">
    <w:name w:val="index 9"/>
    <w:basedOn w:val="Normal"/>
    <w:next w:val="Normal"/>
    <w:autoRedefine/>
    <w:semiHidden/>
    <w:unhideWhenUsed/>
    <w:rsid w:val="00F500BD"/>
    <w:pPr>
      <w:tabs>
        <w:tab w:val="clear" w:pos="1247"/>
      </w:tabs>
      <w:ind w:left="1800" w:hanging="200"/>
    </w:pPr>
  </w:style>
  <w:style w:type="paragraph" w:styleId="IndexHeading">
    <w:name w:val="index heading"/>
    <w:basedOn w:val="Normal"/>
    <w:next w:val="Index1"/>
    <w:semiHidden/>
    <w:unhideWhenUsed/>
    <w:rsid w:val="00F500BD"/>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500BD"/>
    <w:rPr>
      <w:i/>
      <w:iCs/>
      <w:color w:val="4F81BD" w:themeColor="accent1"/>
      <w:lang w:val="en-GB"/>
    </w:rPr>
  </w:style>
  <w:style w:type="paragraph" w:styleId="IntenseQuote">
    <w:name w:val="Intense Quote"/>
    <w:basedOn w:val="Normal"/>
    <w:next w:val="Normal"/>
    <w:link w:val="IntenseQuoteChar"/>
    <w:uiPriority w:val="30"/>
    <w:semiHidden/>
    <w:qFormat/>
    <w:rsid w:val="00F500B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F500BD"/>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F500BD"/>
    <w:rPr>
      <w:b/>
      <w:bCs/>
      <w:smallCaps/>
      <w:color w:val="4F81BD" w:themeColor="accent1"/>
      <w:spacing w:val="5"/>
      <w:lang w:val="en-GB"/>
    </w:rPr>
  </w:style>
  <w:style w:type="table" w:styleId="LightGrid">
    <w:name w:val="Light Grid"/>
    <w:basedOn w:val="TableNormal"/>
    <w:uiPriority w:val="62"/>
    <w:semiHidden/>
    <w:unhideWhenUsed/>
    <w:rsid w:val="00F500B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500B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F500B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F500B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F500B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F500B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F500B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F500B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500B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F500B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F500B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F500B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F500B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F500B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F500B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500B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F500B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F500B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F500B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F500B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F500B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F500BD"/>
    <w:rPr>
      <w:lang w:val="en-GB"/>
    </w:rPr>
  </w:style>
  <w:style w:type="paragraph" w:styleId="List">
    <w:name w:val="List"/>
    <w:basedOn w:val="Normal"/>
    <w:semiHidden/>
    <w:unhideWhenUsed/>
    <w:rsid w:val="00F500BD"/>
    <w:pPr>
      <w:ind w:left="283" w:hanging="283"/>
      <w:contextualSpacing/>
    </w:pPr>
  </w:style>
  <w:style w:type="paragraph" w:styleId="List2">
    <w:name w:val="List 2"/>
    <w:basedOn w:val="Normal"/>
    <w:semiHidden/>
    <w:unhideWhenUsed/>
    <w:rsid w:val="00F500BD"/>
    <w:pPr>
      <w:ind w:left="566" w:hanging="283"/>
      <w:contextualSpacing/>
    </w:pPr>
  </w:style>
  <w:style w:type="paragraph" w:styleId="List3">
    <w:name w:val="List 3"/>
    <w:basedOn w:val="Normal"/>
    <w:semiHidden/>
    <w:unhideWhenUsed/>
    <w:rsid w:val="00F500BD"/>
    <w:pPr>
      <w:ind w:left="849" w:hanging="283"/>
      <w:contextualSpacing/>
    </w:pPr>
  </w:style>
  <w:style w:type="paragraph" w:styleId="List4">
    <w:name w:val="List 4"/>
    <w:basedOn w:val="Normal"/>
    <w:semiHidden/>
    <w:unhideWhenUsed/>
    <w:rsid w:val="00F500BD"/>
    <w:pPr>
      <w:ind w:left="1132" w:hanging="283"/>
      <w:contextualSpacing/>
    </w:pPr>
  </w:style>
  <w:style w:type="paragraph" w:styleId="List5">
    <w:name w:val="List 5"/>
    <w:basedOn w:val="Normal"/>
    <w:semiHidden/>
    <w:unhideWhenUsed/>
    <w:rsid w:val="00F500BD"/>
    <w:pPr>
      <w:ind w:left="1415" w:hanging="283"/>
      <w:contextualSpacing/>
    </w:pPr>
  </w:style>
  <w:style w:type="paragraph" w:styleId="ListBullet">
    <w:name w:val="List Bullet"/>
    <w:basedOn w:val="Normal"/>
    <w:semiHidden/>
    <w:rsid w:val="00F500BD"/>
    <w:pPr>
      <w:numPr>
        <w:numId w:val="6"/>
      </w:numPr>
      <w:contextualSpacing/>
    </w:pPr>
  </w:style>
  <w:style w:type="paragraph" w:styleId="ListBullet2">
    <w:name w:val="List Bullet 2"/>
    <w:basedOn w:val="Normal"/>
    <w:semiHidden/>
    <w:unhideWhenUsed/>
    <w:rsid w:val="00F500BD"/>
    <w:pPr>
      <w:numPr>
        <w:numId w:val="7"/>
      </w:numPr>
      <w:contextualSpacing/>
    </w:pPr>
  </w:style>
  <w:style w:type="paragraph" w:styleId="ListBullet3">
    <w:name w:val="List Bullet 3"/>
    <w:basedOn w:val="Normal"/>
    <w:semiHidden/>
    <w:unhideWhenUsed/>
    <w:rsid w:val="00F500BD"/>
    <w:pPr>
      <w:numPr>
        <w:numId w:val="8"/>
      </w:numPr>
      <w:contextualSpacing/>
    </w:pPr>
  </w:style>
  <w:style w:type="paragraph" w:styleId="ListBullet4">
    <w:name w:val="List Bullet 4"/>
    <w:basedOn w:val="Normal"/>
    <w:semiHidden/>
    <w:unhideWhenUsed/>
    <w:rsid w:val="00F500BD"/>
    <w:pPr>
      <w:numPr>
        <w:numId w:val="9"/>
      </w:numPr>
      <w:contextualSpacing/>
    </w:pPr>
  </w:style>
  <w:style w:type="paragraph" w:styleId="ListBullet5">
    <w:name w:val="List Bullet 5"/>
    <w:basedOn w:val="Normal"/>
    <w:semiHidden/>
    <w:unhideWhenUsed/>
    <w:rsid w:val="00F500BD"/>
    <w:pPr>
      <w:numPr>
        <w:numId w:val="10"/>
      </w:numPr>
      <w:contextualSpacing/>
    </w:pPr>
  </w:style>
  <w:style w:type="paragraph" w:styleId="ListContinue">
    <w:name w:val="List Continue"/>
    <w:basedOn w:val="Normal"/>
    <w:semiHidden/>
    <w:unhideWhenUsed/>
    <w:rsid w:val="00F500BD"/>
    <w:pPr>
      <w:spacing w:after="120"/>
      <w:ind w:left="283"/>
      <w:contextualSpacing/>
    </w:pPr>
  </w:style>
  <w:style w:type="paragraph" w:styleId="ListContinue2">
    <w:name w:val="List Continue 2"/>
    <w:basedOn w:val="Normal"/>
    <w:semiHidden/>
    <w:unhideWhenUsed/>
    <w:rsid w:val="00F500BD"/>
    <w:pPr>
      <w:spacing w:after="120"/>
      <w:ind w:left="566"/>
      <w:contextualSpacing/>
    </w:pPr>
  </w:style>
  <w:style w:type="paragraph" w:styleId="ListContinue3">
    <w:name w:val="List Continue 3"/>
    <w:basedOn w:val="Normal"/>
    <w:semiHidden/>
    <w:rsid w:val="00F500BD"/>
    <w:pPr>
      <w:spacing w:after="120"/>
      <w:ind w:left="849"/>
      <w:contextualSpacing/>
    </w:pPr>
  </w:style>
  <w:style w:type="paragraph" w:styleId="ListContinue4">
    <w:name w:val="List Continue 4"/>
    <w:basedOn w:val="Normal"/>
    <w:semiHidden/>
    <w:rsid w:val="00F500BD"/>
    <w:pPr>
      <w:spacing w:after="120"/>
      <w:ind w:left="1132"/>
      <w:contextualSpacing/>
    </w:pPr>
  </w:style>
  <w:style w:type="paragraph" w:styleId="ListContinue5">
    <w:name w:val="List Continue 5"/>
    <w:basedOn w:val="Normal"/>
    <w:semiHidden/>
    <w:rsid w:val="00F500BD"/>
    <w:pPr>
      <w:spacing w:after="120"/>
      <w:ind w:left="1415"/>
      <w:contextualSpacing/>
    </w:pPr>
  </w:style>
  <w:style w:type="paragraph" w:styleId="ListNumber">
    <w:name w:val="List Number"/>
    <w:basedOn w:val="Normal"/>
    <w:semiHidden/>
    <w:rsid w:val="00F500BD"/>
    <w:pPr>
      <w:numPr>
        <w:numId w:val="11"/>
      </w:numPr>
      <w:contextualSpacing/>
    </w:pPr>
  </w:style>
  <w:style w:type="paragraph" w:styleId="ListNumber2">
    <w:name w:val="List Number 2"/>
    <w:basedOn w:val="Normal"/>
    <w:semiHidden/>
    <w:unhideWhenUsed/>
    <w:rsid w:val="00F500BD"/>
    <w:pPr>
      <w:numPr>
        <w:numId w:val="12"/>
      </w:numPr>
      <w:contextualSpacing/>
    </w:pPr>
  </w:style>
  <w:style w:type="paragraph" w:styleId="ListNumber3">
    <w:name w:val="List Number 3"/>
    <w:basedOn w:val="Normal"/>
    <w:semiHidden/>
    <w:unhideWhenUsed/>
    <w:rsid w:val="00F500BD"/>
    <w:pPr>
      <w:numPr>
        <w:numId w:val="13"/>
      </w:numPr>
      <w:contextualSpacing/>
    </w:pPr>
  </w:style>
  <w:style w:type="paragraph" w:styleId="ListNumber4">
    <w:name w:val="List Number 4"/>
    <w:basedOn w:val="Normal"/>
    <w:semiHidden/>
    <w:unhideWhenUsed/>
    <w:rsid w:val="00F500BD"/>
    <w:pPr>
      <w:numPr>
        <w:numId w:val="14"/>
      </w:numPr>
      <w:contextualSpacing/>
    </w:pPr>
  </w:style>
  <w:style w:type="paragraph" w:styleId="ListNumber5">
    <w:name w:val="List Number 5"/>
    <w:basedOn w:val="Normal"/>
    <w:semiHidden/>
    <w:unhideWhenUsed/>
    <w:rsid w:val="00F500BD"/>
    <w:pPr>
      <w:numPr>
        <w:numId w:val="15"/>
      </w:numPr>
      <w:contextualSpacing/>
    </w:pPr>
  </w:style>
  <w:style w:type="table" w:styleId="ListTable1Light">
    <w:name w:val="List Table 1 Light"/>
    <w:basedOn w:val="TableNormal"/>
    <w:uiPriority w:val="46"/>
    <w:rsid w:val="00F500B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500BD"/>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F500BD"/>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F500BD"/>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F500BD"/>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F500BD"/>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F500BD"/>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F500B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500BD"/>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F500BD"/>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F500BD"/>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F500BD"/>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F500BD"/>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F500BD"/>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F500B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500B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F500BD"/>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F500BD"/>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F500BD"/>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F500BD"/>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F500BD"/>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F500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500B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F500B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F500B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F500B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F500B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F500B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F500B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500BD"/>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500BD"/>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500BD"/>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500BD"/>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500BD"/>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500BD"/>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500B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500BD"/>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F500BD"/>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F500BD"/>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F500BD"/>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F500BD"/>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F500BD"/>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F500B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500BD"/>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500BD"/>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500BD"/>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500BD"/>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500BD"/>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500BD"/>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F500BD"/>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cs="Consolas"/>
      <w:lang w:val="en-GB" w:eastAsia="en-US"/>
    </w:rPr>
  </w:style>
  <w:style w:type="character" w:customStyle="1" w:styleId="MacroTextChar">
    <w:name w:val="Macro Text Char"/>
    <w:basedOn w:val="DefaultParagraphFont"/>
    <w:link w:val="MacroText"/>
    <w:semiHidden/>
    <w:rsid w:val="00F500BD"/>
    <w:rPr>
      <w:rFonts w:ascii="Consolas" w:eastAsia="Times New Roman" w:hAnsi="Consolas" w:cs="Consolas"/>
      <w:lang w:val="en-GB" w:eastAsia="en-US"/>
    </w:rPr>
  </w:style>
  <w:style w:type="table" w:styleId="MediumGrid1">
    <w:name w:val="Medium Grid 1"/>
    <w:basedOn w:val="TableNormal"/>
    <w:uiPriority w:val="67"/>
    <w:semiHidden/>
    <w:unhideWhenUsed/>
    <w:rsid w:val="00F500B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500B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F500B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F500B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F500B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F500B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F500B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500B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500B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F500B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F500B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F500B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F500B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F500B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F500B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500B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F500BD"/>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F500BD"/>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F500B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F500BD"/>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F500B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500B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500B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500B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500B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500B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500B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500B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500B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500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500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500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500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500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500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500B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F500BD"/>
    <w:rPr>
      <w:color w:val="2B579A"/>
      <w:shd w:val="clear" w:color="auto" w:fill="E1DFDD"/>
      <w:lang w:val="en-GB"/>
    </w:rPr>
  </w:style>
  <w:style w:type="paragraph" w:styleId="MessageHeader">
    <w:name w:val="Message Header"/>
    <w:basedOn w:val="Normal"/>
    <w:link w:val="MessageHeaderChar"/>
    <w:semiHidden/>
    <w:rsid w:val="00F500B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F500BD"/>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F500BD"/>
    <w:pPr>
      <w:ind w:left="720"/>
    </w:pPr>
  </w:style>
  <w:style w:type="paragraph" w:styleId="NoteHeading">
    <w:name w:val="Note Heading"/>
    <w:basedOn w:val="Normal"/>
    <w:next w:val="Normal"/>
    <w:link w:val="NoteHeadingChar"/>
    <w:semiHidden/>
    <w:unhideWhenUsed/>
    <w:rsid w:val="00F500BD"/>
  </w:style>
  <w:style w:type="character" w:customStyle="1" w:styleId="NoteHeadingChar">
    <w:name w:val="Note Heading Char"/>
    <w:basedOn w:val="DefaultParagraphFont"/>
    <w:link w:val="NoteHeading"/>
    <w:semiHidden/>
    <w:rsid w:val="00F500BD"/>
    <w:rPr>
      <w:rFonts w:eastAsia="Times New Roman"/>
      <w:lang w:val="en-GB" w:eastAsia="en-US"/>
    </w:rPr>
  </w:style>
  <w:style w:type="table" w:styleId="PlainTable1">
    <w:name w:val="Plain Table 1"/>
    <w:basedOn w:val="TableNormal"/>
    <w:uiPriority w:val="41"/>
    <w:rsid w:val="00F500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500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500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500B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500B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F500BD"/>
    <w:rPr>
      <w:rFonts w:ascii="Consolas" w:hAnsi="Consolas" w:cs="Consolas"/>
      <w:sz w:val="21"/>
      <w:szCs w:val="21"/>
    </w:rPr>
  </w:style>
  <w:style w:type="character" w:customStyle="1" w:styleId="PlainTextChar">
    <w:name w:val="Plain Text Char"/>
    <w:basedOn w:val="DefaultParagraphFont"/>
    <w:link w:val="PlainText"/>
    <w:semiHidden/>
    <w:rsid w:val="00F500BD"/>
    <w:rPr>
      <w:rFonts w:ascii="Consolas" w:eastAsia="Times New Roman" w:hAnsi="Consolas" w:cs="Consolas"/>
      <w:sz w:val="21"/>
      <w:szCs w:val="21"/>
      <w:lang w:val="en-GB" w:eastAsia="en-US"/>
    </w:rPr>
  </w:style>
  <w:style w:type="paragraph" w:styleId="Quote">
    <w:name w:val="Quote"/>
    <w:basedOn w:val="Normal"/>
    <w:next w:val="Normal"/>
    <w:link w:val="QuoteChar"/>
    <w:uiPriority w:val="29"/>
    <w:semiHidden/>
    <w:qFormat/>
    <w:rsid w:val="00F500B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500BD"/>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F500BD"/>
  </w:style>
  <w:style w:type="character" w:customStyle="1" w:styleId="SalutationChar">
    <w:name w:val="Salutation Char"/>
    <w:basedOn w:val="DefaultParagraphFont"/>
    <w:link w:val="Salutation"/>
    <w:semiHidden/>
    <w:rsid w:val="00F500BD"/>
    <w:rPr>
      <w:rFonts w:eastAsia="Times New Roman"/>
      <w:lang w:val="en-GB" w:eastAsia="en-US"/>
    </w:rPr>
  </w:style>
  <w:style w:type="paragraph" w:styleId="Signature">
    <w:name w:val="Signature"/>
    <w:basedOn w:val="Normal"/>
    <w:link w:val="SignatureChar"/>
    <w:semiHidden/>
    <w:unhideWhenUsed/>
    <w:rsid w:val="00F500BD"/>
    <w:pPr>
      <w:ind w:left="4252"/>
    </w:pPr>
  </w:style>
  <w:style w:type="character" w:customStyle="1" w:styleId="SignatureChar">
    <w:name w:val="Signature Char"/>
    <w:basedOn w:val="DefaultParagraphFont"/>
    <w:link w:val="Signature"/>
    <w:semiHidden/>
    <w:rsid w:val="00F500BD"/>
    <w:rPr>
      <w:rFonts w:eastAsia="Times New Roman"/>
      <w:lang w:val="en-GB" w:eastAsia="en-US"/>
    </w:rPr>
  </w:style>
  <w:style w:type="character" w:styleId="SmartHyperlink">
    <w:name w:val="Smart Hyperlink"/>
    <w:basedOn w:val="DefaultParagraphFont"/>
    <w:uiPriority w:val="99"/>
    <w:semiHidden/>
    <w:rsid w:val="00F500BD"/>
    <w:rPr>
      <w:u w:val="dotted"/>
      <w:lang w:val="en-GB"/>
    </w:rPr>
  </w:style>
  <w:style w:type="character" w:styleId="SmartLink">
    <w:name w:val="Smart Link"/>
    <w:basedOn w:val="DefaultParagraphFont"/>
    <w:uiPriority w:val="99"/>
    <w:semiHidden/>
    <w:unhideWhenUsed/>
    <w:rsid w:val="00F500BD"/>
    <w:rPr>
      <w:color w:val="0000FF"/>
      <w:u w:val="single"/>
      <w:shd w:val="clear" w:color="auto" w:fill="F3F2F1"/>
      <w:lang w:val="en-GB"/>
    </w:rPr>
  </w:style>
  <w:style w:type="character" w:styleId="Strong">
    <w:name w:val="Strong"/>
    <w:basedOn w:val="DefaultParagraphFont"/>
    <w:qFormat/>
    <w:rsid w:val="00F500BD"/>
    <w:rPr>
      <w:b/>
      <w:bCs/>
      <w:lang w:val="en-GB"/>
    </w:rPr>
  </w:style>
  <w:style w:type="paragraph" w:styleId="Subtitle">
    <w:name w:val="Subtitle"/>
    <w:basedOn w:val="Normal"/>
    <w:next w:val="Normal"/>
    <w:link w:val="SubtitleChar"/>
    <w:semiHidden/>
    <w:qFormat/>
    <w:rsid w:val="00F500B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F500BD"/>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F500BD"/>
    <w:rPr>
      <w:i/>
      <w:iCs/>
      <w:color w:val="404040" w:themeColor="text1" w:themeTint="BF"/>
      <w:lang w:val="en-GB"/>
    </w:rPr>
  </w:style>
  <w:style w:type="character" w:styleId="SubtleReference">
    <w:name w:val="Subtle Reference"/>
    <w:basedOn w:val="DefaultParagraphFont"/>
    <w:uiPriority w:val="31"/>
    <w:semiHidden/>
    <w:qFormat/>
    <w:rsid w:val="00F500BD"/>
    <w:rPr>
      <w:smallCaps/>
      <w:color w:val="5A5A5A" w:themeColor="text1" w:themeTint="A5"/>
      <w:lang w:val="en-GB"/>
    </w:rPr>
  </w:style>
  <w:style w:type="table" w:styleId="Table3Deffects1">
    <w:name w:val="Table 3D effects 1"/>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500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F500BD"/>
    <w:pPr>
      <w:tabs>
        <w:tab w:val="clear" w:pos="1247"/>
      </w:tabs>
      <w:ind w:left="200" w:hanging="200"/>
    </w:pPr>
  </w:style>
  <w:style w:type="table" w:styleId="TableProfessional">
    <w:name w:val="Table Professional"/>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F500BD"/>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F500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F500BD"/>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F500B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F500BD"/>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poolChar">
    <w:name w:val="Normal-pool Char"/>
    <w:link w:val="Normal-pool"/>
    <w:locked/>
    <w:rsid w:val="005B2239"/>
    <w:rPr>
      <w:rFonts w:eastAsia="Times New Roman"/>
      <w:lang w:val="en-GB" w:eastAsia="en-US"/>
    </w:rPr>
  </w:style>
  <w:style w:type="character" w:customStyle="1" w:styleId="BBTitleChar">
    <w:name w:val="BB_Title Char"/>
    <w:link w:val="BBTitle"/>
    <w:rsid w:val="005B2239"/>
    <w:rPr>
      <w:rFonts w:eastAsia="Times New Roman"/>
      <w:b/>
      <w:sz w:val="28"/>
      <w:szCs w:val="28"/>
      <w:lang w:val="en-GB" w:eastAsia="en-US"/>
    </w:rPr>
  </w:style>
  <w:style w:type="paragraph" w:styleId="Revision">
    <w:name w:val="Revision"/>
    <w:hidden/>
    <w:uiPriority w:val="99"/>
    <w:semiHidden/>
    <w:rsid w:val="00333E85"/>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United%20Nations\UNON%20DCS%20Templates%20Platform%20-%20Documents\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8175662-8596-484a-92c7-351d01561e22" ContentTypeId="0x010100AF687BC085C91946BC54CBDC5AB286CC" PreviousValue="false" LastSyncTimeStamp="2021-02-04T13:33:18.75Z"/>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092C91-9F7E-4D00-8646-10AD0F9F2F73}"/>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90A7E9E1-93EC-4E6C-9C2E-65C6847FD046}">
  <ds:schemaRefs>
    <ds:schemaRef ds:uri="Microsoft.SharePoint.Taxonomy.ContentTypeSync"/>
  </ds:schemaRefs>
</ds:datastoreItem>
</file>

<file path=customXml/itemProps5.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PlainPage_EN.dotx</Template>
  <TotalTime>3</TotalTime>
  <Pages>26</Pages>
  <Words>17880</Words>
  <Characters>100904</Characters>
  <Application>Microsoft Office Word</Application>
  <DocSecurity>0</DocSecurity>
  <PresentationFormat/>
  <Lines>1390</Lines>
  <Paragraphs>301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118579</CharactersWithSpaces>
  <SharedDoc>false</SharedDoc>
  <HyperlinkBase/>
  <HLinks>
    <vt:vector size="90" baseType="variant">
      <vt:variant>
        <vt:i4>3670110</vt:i4>
      </vt:variant>
      <vt:variant>
        <vt:i4>42</vt:i4>
      </vt:variant>
      <vt:variant>
        <vt:i4>0</vt:i4>
      </vt:variant>
      <vt:variant>
        <vt:i4>5</vt:i4>
      </vt:variant>
      <vt:variant>
        <vt:lpwstr>mailto:pablo.moscosodelacuba@un.org</vt:lpwstr>
      </vt:variant>
      <vt:variant>
        <vt:lpwstr/>
      </vt:variant>
      <vt:variant>
        <vt:i4>3670110</vt:i4>
      </vt:variant>
      <vt:variant>
        <vt:i4>39</vt:i4>
      </vt:variant>
      <vt:variant>
        <vt:i4>0</vt:i4>
      </vt:variant>
      <vt:variant>
        <vt:i4>5</vt:i4>
      </vt:variant>
      <vt:variant>
        <vt:lpwstr>mailto:pablo.moscosodelacuba@un.org</vt:lpwstr>
      </vt:variant>
      <vt:variant>
        <vt:lpwstr/>
      </vt:variant>
      <vt:variant>
        <vt:i4>3407962</vt:i4>
      </vt:variant>
      <vt:variant>
        <vt:i4>36</vt:i4>
      </vt:variant>
      <vt:variant>
        <vt:i4>0</vt:i4>
      </vt:variant>
      <vt:variant>
        <vt:i4>5</vt:i4>
      </vt:variant>
      <vt:variant>
        <vt:lpwstr>mailto:frida.muriithi@un.org</vt:lpwstr>
      </vt:variant>
      <vt:variant>
        <vt:lpwstr/>
      </vt:variant>
      <vt:variant>
        <vt:i4>7733256</vt:i4>
      </vt:variant>
      <vt:variant>
        <vt:i4>33</vt:i4>
      </vt:variant>
      <vt:variant>
        <vt:i4>0</vt:i4>
      </vt:variant>
      <vt:variant>
        <vt:i4>5</vt:i4>
      </vt:variant>
      <vt:variant>
        <vt:lpwstr>mailto:gerald.mutisya@un.org</vt:lpwstr>
      </vt:variant>
      <vt:variant>
        <vt:lpwstr/>
      </vt:variant>
      <vt:variant>
        <vt:i4>3670110</vt:i4>
      </vt:variant>
      <vt:variant>
        <vt:i4>30</vt:i4>
      </vt:variant>
      <vt:variant>
        <vt:i4>0</vt:i4>
      </vt:variant>
      <vt:variant>
        <vt:i4>5</vt:i4>
      </vt:variant>
      <vt:variant>
        <vt:lpwstr>mailto:pablo.moscosodelacuba@un.org</vt:lpwstr>
      </vt:variant>
      <vt:variant>
        <vt:lpwstr/>
      </vt:variant>
      <vt:variant>
        <vt:i4>7864322</vt:i4>
      </vt:variant>
      <vt:variant>
        <vt:i4>27</vt:i4>
      </vt:variant>
      <vt:variant>
        <vt:i4>0</vt:i4>
      </vt:variant>
      <vt:variant>
        <vt:i4>5</vt:i4>
      </vt:variant>
      <vt:variant>
        <vt:lpwstr>mailto:sophia.mylona@un.org</vt:lpwstr>
      </vt:variant>
      <vt:variant>
        <vt:lpwstr/>
      </vt:variant>
      <vt:variant>
        <vt:i4>7733256</vt:i4>
      </vt:variant>
      <vt:variant>
        <vt:i4>24</vt:i4>
      </vt:variant>
      <vt:variant>
        <vt:i4>0</vt:i4>
      </vt:variant>
      <vt:variant>
        <vt:i4>5</vt:i4>
      </vt:variant>
      <vt:variant>
        <vt:lpwstr>mailto:gerald.mutisya@un.org</vt:lpwstr>
      </vt:variant>
      <vt:variant>
        <vt:lpwstr/>
      </vt:variant>
      <vt:variant>
        <vt:i4>7864322</vt:i4>
      </vt:variant>
      <vt:variant>
        <vt:i4>21</vt:i4>
      </vt:variant>
      <vt:variant>
        <vt:i4>0</vt:i4>
      </vt:variant>
      <vt:variant>
        <vt:i4>5</vt:i4>
      </vt:variant>
      <vt:variant>
        <vt:lpwstr>mailto:sophia.mylona@un.org</vt:lpwstr>
      </vt:variant>
      <vt:variant>
        <vt:lpwstr/>
      </vt:variant>
      <vt:variant>
        <vt:i4>3604557</vt:i4>
      </vt:variant>
      <vt:variant>
        <vt:i4>18</vt:i4>
      </vt:variant>
      <vt:variant>
        <vt:i4>0</vt:i4>
      </vt:variant>
      <vt:variant>
        <vt:i4>5</vt:i4>
      </vt:variant>
      <vt:variant>
        <vt:lpwstr>mailto:dhyey.solanki@un.org</vt:lpwstr>
      </vt:variant>
      <vt:variant>
        <vt:lpwstr/>
      </vt:variant>
      <vt:variant>
        <vt:i4>3604557</vt:i4>
      </vt:variant>
      <vt:variant>
        <vt:i4>15</vt:i4>
      </vt:variant>
      <vt:variant>
        <vt:i4>0</vt:i4>
      </vt:variant>
      <vt:variant>
        <vt:i4>5</vt:i4>
      </vt:variant>
      <vt:variant>
        <vt:lpwstr>mailto:dhyey.solanki@un.org</vt:lpwstr>
      </vt:variant>
      <vt:variant>
        <vt:lpwstr/>
      </vt:variant>
      <vt:variant>
        <vt:i4>7864322</vt:i4>
      </vt:variant>
      <vt:variant>
        <vt:i4>12</vt:i4>
      </vt:variant>
      <vt:variant>
        <vt:i4>0</vt:i4>
      </vt:variant>
      <vt:variant>
        <vt:i4>5</vt:i4>
      </vt:variant>
      <vt:variant>
        <vt:lpwstr>mailto:sophia.mylona@un.org</vt:lpwstr>
      </vt:variant>
      <vt:variant>
        <vt:lpwstr/>
      </vt:variant>
      <vt:variant>
        <vt:i4>7733256</vt:i4>
      </vt:variant>
      <vt:variant>
        <vt:i4>9</vt:i4>
      </vt:variant>
      <vt:variant>
        <vt:i4>0</vt:i4>
      </vt:variant>
      <vt:variant>
        <vt:i4>5</vt:i4>
      </vt:variant>
      <vt:variant>
        <vt:lpwstr>mailto:gerald.mutisya@un.org</vt:lpwstr>
      </vt:variant>
      <vt:variant>
        <vt:lpwstr/>
      </vt:variant>
      <vt:variant>
        <vt:i4>7864322</vt:i4>
      </vt:variant>
      <vt:variant>
        <vt:i4>6</vt:i4>
      </vt:variant>
      <vt:variant>
        <vt:i4>0</vt:i4>
      </vt:variant>
      <vt:variant>
        <vt:i4>5</vt:i4>
      </vt:variant>
      <vt:variant>
        <vt:lpwstr>mailto:sophia.mylona@un.org</vt:lpwstr>
      </vt:variant>
      <vt:variant>
        <vt:lpwstr/>
      </vt:variant>
      <vt:variant>
        <vt:i4>5636132</vt:i4>
      </vt:variant>
      <vt:variant>
        <vt:i4>3</vt:i4>
      </vt:variant>
      <vt:variant>
        <vt:i4>0</vt:i4>
      </vt:variant>
      <vt:variant>
        <vt:i4>5</vt:i4>
      </vt:variant>
      <vt:variant>
        <vt:lpwstr>mailto:meg.seki@un.org</vt:lpwstr>
      </vt:variant>
      <vt:variant>
        <vt:lpwstr/>
      </vt:variant>
      <vt:variant>
        <vt:i4>7864322</vt:i4>
      </vt:variant>
      <vt:variant>
        <vt:i4>0</vt:i4>
      </vt:variant>
      <vt:variant>
        <vt:i4>0</vt:i4>
      </vt:variant>
      <vt:variant>
        <vt:i4>5</vt:i4>
      </vt:variant>
      <vt:variant>
        <vt:lpwstr>mailto:sophia.mylona@un.org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Mwanza</dc:creator>
  <cp:keywords/>
  <dc:description/>
  <cp:lastModifiedBy>Jane Mbau</cp:lastModifiedBy>
  <cp:revision>4</cp:revision>
  <cp:lastPrinted>2026-11-05T17:16:00Z</cp:lastPrinted>
  <dcterms:created xsi:type="dcterms:W3CDTF">2026-11-05T17:15:00Z</dcterms:created>
  <dcterms:modified xsi:type="dcterms:W3CDTF">2026-11-05T17:17:00Z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Lim</vt:lpwstr>
  </property>
  <property fmtid="{D5CDD505-2E9C-101B-9397-08002B2CF9AE}" pid="10" name="ContentTypeId">
    <vt:lpwstr>0x010100A8527E0A0837F64083645E115EB57567</vt:lpwstr>
  </property>
  <property fmtid="{D5CDD505-2E9C-101B-9397-08002B2CF9AE}" pid="11" name="MediaServiceImageTags">
    <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ies>
</file>