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B84488" w:rsidRPr="00B84488" w14:paraId="5D585BC0" w14:textId="77777777" w:rsidTr="00BF6AB5">
        <w:trPr>
          <w:trHeight w:val="340"/>
        </w:trPr>
        <w:tc>
          <w:tcPr>
            <w:tcW w:w="1559" w:type="dxa"/>
          </w:tcPr>
          <w:p w14:paraId="29ADF94D" w14:textId="77777777" w:rsidR="00B84488" w:rsidRPr="00B84488" w:rsidRDefault="00B84488" w:rsidP="00BF6AB5">
            <w:pPr>
              <w:pStyle w:val="Normal-pool"/>
              <w:rPr>
                <w:lang w:val="es-ES_tradnl"/>
              </w:rPr>
            </w:pPr>
          </w:p>
        </w:tc>
        <w:tc>
          <w:tcPr>
            <w:tcW w:w="4819" w:type="dxa"/>
          </w:tcPr>
          <w:p w14:paraId="1241C1D0" w14:textId="77777777" w:rsidR="00B84488" w:rsidRPr="00B84488" w:rsidRDefault="00B84488" w:rsidP="00BF6AB5">
            <w:pPr>
              <w:pStyle w:val="Normal-pool"/>
              <w:rPr>
                <w:lang w:val="es-ES_tradnl"/>
              </w:rPr>
            </w:pPr>
          </w:p>
        </w:tc>
        <w:tc>
          <w:tcPr>
            <w:tcW w:w="3118" w:type="dxa"/>
          </w:tcPr>
          <w:p w14:paraId="7FB4FCEF" w14:textId="77777777" w:rsidR="00B84488" w:rsidRPr="00B84488" w:rsidRDefault="00B84488" w:rsidP="00BF6AB5">
            <w:pPr>
              <w:pStyle w:val="Normal-pool"/>
              <w:rPr>
                <w:lang w:val="es-ES_tradnl"/>
              </w:rPr>
            </w:pPr>
          </w:p>
        </w:tc>
      </w:tr>
    </w:tbl>
    <w:p w14:paraId="21C4C991" w14:textId="77777777" w:rsidR="00B84488" w:rsidRPr="00B84488" w:rsidRDefault="00B84488" w:rsidP="00B84488">
      <w:pPr>
        <w:pStyle w:val="ASpacer"/>
        <w:rPr>
          <w:lang w:val="es-ES_tradnl"/>
        </w:rPr>
      </w:pPr>
    </w:p>
    <w:tbl>
      <w:tblPr>
        <w:tblW w:w="9496" w:type="dxa"/>
        <w:tblLook w:val="0000" w:firstRow="0" w:lastRow="0" w:firstColumn="0" w:lastColumn="0" w:noHBand="0" w:noVBand="0"/>
      </w:tblPr>
      <w:tblGrid>
        <w:gridCol w:w="6378"/>
        <w:gridCol w:w="3118"/>
      </w:tblGrid>
      <w:tr w:rsidR="00B84488" w:rsidRPr="00B84488" w14:paraId="4530658C" w14:textId="77777777" w:rsidTr="00BF6AB5">
        <w:trPr>
          <w:trHeight w:val="340"/>
        </w:trPr>
        <w:tc>
          <w:tcPr>
            <w:tcW w:w="3358" w:type="pct"/>
            <w:vAlign w:val="bottom"/>
          </w:tcPr>
          <w:p w14:paraId="157579F9" w14:textId="77777777" w:rsidR="00B84488" w:rsidRPr="00B84488" w:rsidRDefault="00B84488" w:rsidP="00BF6AB5">
            <w:pPr>
              <w:pStyle w:val="Normal-pool"/>
              <w:rPr>
                <w:lang w:val="es-ES_tradnl"/>
              </w:rPr>
            </w:pPr>
          </w:p>
        </w:tc>
        <w:tc>
          <w:tcPr>
            <w:tcW w:w="1642" w:type="pct"/>
            <w:noWrap/>
            <w:vAlign w:val="bottom"/>
          </w:tcPr>
          <w:p w14:paraId="56D50512" w14:textId="7D757653" w:rsidR="00B84488" w:rsidRPr="00B84488" w:rsidRDefault="00B84488" w:rsidP="00BF6AB5">
            <w:pPr>
              <w:pStyle w:val="ASymbol"/>
              <w:rPr>
                <w:lang w:val="es-ES_tradnl"/>
              </w:rPr>
            </w:pPr>
            <w:r w:rsidRPr="00B84488">
              <w:rPr>
                <w:b/>
                <w:sz w:val="28"/>
                <w:lang w:val="es-ES_tradnl"/>
              </w:rPr>
              <w:t>UNEP</w:t>
            </w:r>
            <w:r w:rsidRPr="00B84488">
              <w:rPr>
                <w:lang w:val="es-ES_tradnl"/>
              </w:rPr>
              <w:t>/OzL.Pro.38/CRP.</w:t>
            </w:r>
            <w:r w:rsidRPr="00B84488">
              <w:rPr>
                <w:lang w:val="es-ES_tradnl"/>
              </w:rPr>
              <w:t>1</w:t>
            </w:r>
          </w:p>
        </w:tc>
      </w:tr>
    </w:tbl>
    <w:p w14:paraId="6CB475D0" w14:textId="77777777" w:rsidR="00B84488" w:rsidRPr="00B84488" w:rsidRDefault="00B84488" w:rsidP="00B84488">
      <w:pPr>
        <w:pStyle w:val="ASpacer"/>
        <w:rPr>
          <w:lang w:val="es-ES_tradnl"/>
        </w:rPr>
      </w:pPr>
    </w:p>
    <w:tbl>
      <w:tblPr>
        <w:tblW w:w="9496" w:type="dxa"/>
        <w:tblLayout w:type="fixed"/>
        <w:tblLook w:val="0000" w:firstRow="0" w:lastRow="0" w:firstColumn="0" w:lastColumn="0" w:noHBand="0" w:noVBand="0"/>
      </w:tblPr>
      <w:tblGrid>
        <w:gridCol w:w="5102"/>
        <w:gridCol w:w="1276"/>
        <w:gridCol w:w="3118"/>
      </w:tblGrid>
      <w:tr w:rsidR="00B84488" w:rsidRPr="00B84488" w14:paraId="773E67F5" w14:textId="77777777" w:rsidTr="00BF6AB5">
        <w:trPr>
          <w:trHeight w:val="2098"/>
        </w:trPr>
        <w:tc>
          <w:tcPr>
            <w:tcW w:w="5102" w:type="dxa"/>
          </w:tcPr>
          <w:p w14:paraId="6218911D" w14:textId="77777777" w:rsidR="00B84488" w:rsidRPr="00B84488" w:rsidRDefault="00B84488" w:rsidP="00BF6AB5">
            <w:pPr>
              <w:pStyle w:val="AConvName"/>
              <w:rPr>
                <w:lang w:val="es-ES_tradnl"/>
              </w:rPr>
            </w:pPr>
            <w:r w:rsidRPr="00B84488">
              <w:rPr>
                <w:lang w:val="es-ES_tradnl"/>
              </w:rPr>
              <w:t xml:space="preserve">Programa de las </w:t>
            </w:r>
            <w:r w:rsidRPr="00B84488">
              <w:rPr>
                <w:lang w:val="es-ES_tradnl"/>
              </w:rPr>
              <w:br/>
              <w:t xml:space="preserve">Naciones Unidas </w:t>
            </w:r>
            <w:r w:rsidRPr="00B84488">
              <w:rPr>
                <w:lang w:val="es-ES_tradnl"/>
              </w:rPr>
              <w:br/>
              <w:t>para el Medio Ambiente</w:t>
            </w:r>
          </w:p>
        </w:tc>
        <w:tc>
          <w:tcPr>
            <w:tcW w:w="1276" w:type="dxa"/>
          </w:tcPr>
          <w:p w14:paraId="6383FCBF" w14:textId="77777777" w:rsidR="00B84488" w:rsidRPr="00B84488" w:rsidRDefault="00B84488" w:rsidP="00BF6AB5">
            <w:pPr>
              <w:pStyle w:val="Normal-pool"/>
              <w:rPr>
                <w:lang w:val="es-ES_tradnl"/>
              </w:rPr>
            </w:pPr>
          </w:p>
        </w:tc>
        <w:tc>
          <w:tcPr>
            <w:tcW w:w="3118" w:type="dxa"/>
          </w:tcPr>
          <w:p w14:paraId="7E91BC51" w14:textId="77777777" w:rsidR="00B84488" w:rsidRPr="00B84488" w:rsidRDefault="00B84488" w:rsidP="00B84488">
            <w:pPr>
              <w:pStyle w:val="AText"/>
              <w:rPr>
                <w:rFonts w:eastAsiaTheme="minorEastAsia"/>
                <w:lang w:val="es-ES_tradnl"/>
              </w:rPr>
            </w:pPr>
            <w:r w:rsidRPr="00B84488">
              <w:rPr>
                <w:rFonts w:eastAsiaTheme="minorEastAsia"/>
                <w:color w:val="000000"/>
                <w:lang w:val="es-ES_tradnl"/>
              </w:rPr>
              <w:t xml:space="preserve">2 de noviembre de 2026 </w:t>
            </w:r>
          </w:p>
          <w:p w14:paraId="38BAF464" w14:textId="77777777" w:rsidR="00B84488" w:rsidRPr="00B84488" w:rsidRDefault="00B84488" w:rsidP="00BF6AB5">
            <w:pPr>
              <w:pStyle w:val="AText"/>
              <w:rPr>
                <w:lang w:val="es-ES_tradnl"/>
              </w:rPr>
            </w:pPr>
            <w:r w:rsidRPr="00B84488">
              <w:rPr>
                <w:lang w:val="es-ES_tradnl"/>
              </w:rPr>
              <w:t xml:space="preserve">Español </w:t>
            </w:r>
            <w:r w:rsidRPr="00B84488">
              <w:rPr>
                <w:lang w:val="es-ES_tradnl"/>
              </w:rPr>
              <w:br/>
              <w:t>Original: inglés</w:t>
            </w:r>
          </w:p>
        </w:tc>
      </w:tr>
    </w:tbl>
    <w:p w14:paraId="302714B8" w14:textId="77777777" w:rsidR="00B84488" w:rsidRPr="00B84488" w:rsidRDefault="00B84488" w:rsidP="00B84488">
      <w:pPr>
        <w:pStyle w:val="ASpacer"/>
        <w:rPr>
          <w:lang w:val="es-ES_tradnl"/>
        </w:rP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B84488" w:rsidRPr="00B84488" w14:paraId="6AC89686" w14:textId="77777777" w:rsidTr="00BF6AB5">
        <w:trPr>
          <w:trHeight w:val="57"/>
        </w:trPr>
        <w:tc>
          <w:tcPr>
            <w:tcW w:w="5528" w:type="dxa"/>
          </w:tcPr>
          <w:p w14:paraId="6652B447" w14:textId="77777777" w:rsidR="00B84488" w:rsidRPr="00B84488" w:rsidRDefault="00B84488" w:rsidP="00BF6AB5">
            <w:pPr>
              <w:pStyle w:val="AATitle"/>
              <w:rPr>
                <w:lang w:val="es-ES_tradnl"/>
              </w:rPr>
            </w:pPr>
            <w:r w:rsidRPr="00B84488">
              <w:rPr>
                <w:lang w:val="es-ES_tradnl"/>
              </w:rPr>
              <w:t xml:space="preserve">38ª Reunión de las Partes en el Protocolo </w:t>
            </w:r>
            <w:r w:rsidRPr="00B84488">
              <w:rPr>
                <w:lang w:val="es-ES_tradnl"/>
              </w:rPr>
              <w:br/>
              <w:t xml:space="preserve">de Montreal relativo a las Sustancias que Agotan </w:t>
            </w:r>
            <w:r w:rsidRPr="00B84488">
              <w:rPr>
                <w:lang w:val="es-ES_tradnl"/>
              </w:rPr>
              <w:br/>
              <w:t xml:space="preserve">la Capa de Ozono </w:t>
            </w:r>
          </w:p>
          <w:p w14:paraId="0DDAF50B" w14:textId="77777777" w:rsidR="00B84488" w:rsidRPr="00B84488" w:rsidRDefault="00B84488" w:rsidP="00BF6AB5">
            <w:pPr>
              <w:pStyle w:val="AATitle1"/>
              <w:rPr>
                <w:lang w:val="es-ES_tradnl"/>
              </w:rPr>
            </w:pPr>
            <w:r w:rsidRPr="00B84488">
              <w:rPr>
                <w:lang w:val="es-ES_tradnl"/>
              </w:rPr>
              <w:t xml:space="preserve">Kigali, 2 a 6 de noviembre de 2026 </w:t>
            </w:r>
          </w:p>
          <w:p w14:paraId="29894413" w14:textId="77777777" w:rsidR="00B84488" w:rsidRPr="00B84488" w:rsidRDefault="00B84488" w:rsidP="00B84488">
            <w:pPr>
              <w:pStyle w:val="AATitle1"/>
              <w:rPr>
                <w:rFonts w:eastAsiaTheme="minorEastAsia"/>
                <w:lang w:val="es-ES_tradnl"/>
              </w:rPr>
            </w:pPr>
            <w:r w:rsidRPr="00B84488">
              <w:rPr>
                <w:rFonts w:eastAsiaTheme="minorEastAsia"/>
                <w:color w:val="000000"/>
                <w:lang w:val="es-ES_tradnl"/>
              </w:rPr>
              <w:t xml:space="preserve">Tema 10 del programa de la serie de sesiones preparatorias </w:t>
            </w:r>
          </w:p>
          <w:p w14:paraId="625F70C0" w14:textId="1205537D" w:rsidR="00B84488" w:rsidRPr="00B84488" w:rsidRDefault="00B84488" w:rsidP="00B84488">
            <w:pPr>
              <w:pStyle w:val="AATitle2"/>
              <w:rPr>
                <w:lang w:val="es-ES_tradnl"/>
              </w:rPr>
            </w:pPr>
            <w:r w:rsidRPr="00B84488">
              <w:rPr>
                <w:bCs/>
                <w:color w:val="000000"/>
                <w:lang w:val="es-ES_tradnl"/>
              </w:rPr>
              <w:t>Cuestiones relacionadas con el cumplimiento y la presentación de datos: labor del Comité de Aplicación establecido con arreglo al Procedimiento relativo al Incumplimiento del Protocolo de Montreal y decisiones recomendadas por este</w:t>
            </w:r>
          </w:p>
        </w:tc>
        <w:tc>
          <w:tcPr>
            <w:tcW w:w="3969" w:type="dxa"/>
          </w:tcPr>
          <w:p w14:paraId="02755849" w14:textId="77777777" w:rsidR="00B84488" w:rsidRPr="00B84488" w:rsidRDefault="00B84488" w:rsidP="00BF6AB5">
            <w:pPr>
              <w:pStyle w:val="Normal-pool"/>
              <w:rPr>
                <w:lang w:val="es-ES_tradnl"/>
              </w:rPr>
            </w:pPr>
          </w:p>
        </w:tc>
      </w:tr>
    </w:tbl>
    <w:p w14:paraId="38D9AE62" w14:textId="54AEBD51" w:rsidR="00F43ADF" w:rsidRPr="00B84488" w:rsidRDefault="00F43ADF" w:rsidP="00F43ADF">
      <w:pPr>
        <w:pStyle w:val="BBTitle"/>
        <w:rPr>
          <w:lang w:val="es-ES_tradnl"/>
        </w:rPr>
      </w:pPr>
      <w:r w:rsidRPr="00B84488">
        <w:rPr>
          <w:bCs/>
          <w:lang w:val="es-ES_tradnl"/>
        </w:rPr>
        <w:t>Proyectos de decisión remitidos por el Comité de Aplicación establecido con arreglo al Procedimiento relativo al Incumplimiento del Protocolo de Montreal en sus reuniones 76ª y 77ª para su examen por la 38ª Reunión de las Partes en el Protocolo de Montreal</w:t>
      </w:r>
    </w:p>
    <w:p w14:paraId="1203C60A" w14:textId="5AEA6AD8" w:rsidR="00F43ADF" w:rsidRPr="00B84488" w:rsidRDefault="00F43ADF" w:rsidP="00F43ADF">
      <w:pPr>
        <w:pStyle w:val="CH1"/>
        <w:rPr>
          <w:lang w:val="es-ES_tradnl"/>
        </w:rPr>
      </w:pPr>
      <w:r w:rsidRPr="00B84488">
        <w:rPr>
          <w:lang w:val="es-ES_tradnl"/>
        </w:rPr>
        <w:tab/>
      </w:r>
      <w:r w:rsidRPr="00B84488">
        <w:rPr>
          <w:lang w:val="es-ES_tradnl"/>
        </w:rPr>
        <w:tab/>
      </w:r>
      <w:r w:rsidRPr="00B84488">
        <w:rPr>
          <w:bCs/>
          <w:lang w:val="es-ES_tradnl"/>
        </w:rPr>
        <w:t>Proyecto de decisión XXXVIII/[--]: datos e información proporcionados por las Partes de conformidad con el artículo 7 del</w:t>
      </w:r>
      <w:r w:rsidR="00067462" w:rsidRPr="00B84488">
        <w:rPr>
          <w:bCs/>
          <w:lang w:val="es-ES_tradnl"/>
        </w:rPr>
        <w:t> </w:t>
      </w:r>
      <w:r w:rsidRPr="00B84488">
        <w:rPr>
          <w:bCs/>
          <w:lang w:val="es-ES_tradnl"/>
        </w:rPr>
        <w:t>Protocolo de Montreal</w:t>
      </w:r>
    </w:p>
    <w:p w14:paraId="35D11858" w14:textId="6A0CD20B" w:rsidR="00F43ADF" w:rsidRPr="00B84488" w:rsidRDefault="00F43ADF" w:rsidP="00C25458">
      <w:pPr>
        <w:pStyle w:val="NormalNonumber"/>
        <w:ind w:firstLine="624"/>
        <w:rPr>
          <w:i/>
          <w:iCs/>
          <w:lang w:val="es-ES_tradnl"/>
        </w:rPr>
      </w:pPr>
      <w:r w:rsidRPr="00B84488">
        <w:rPr>
          <w:i/>
          <w:iCs/>
          <w:lang w:val="es-ES_tradnl"/>
        </w:rPr>
        <w:t>La 38ª Reunión de las Partes decide:</w:t>
      </w:r>
    </w:p>
    <w:p w14:paraId="694D5D64" w14:textId="56623C0E" w:rsidR="00164569" w:rsidRPr="00B84488" w:rsidRDefault="00F43ADF" w:rsidP="00C25458">
      <w:pPr>
        <w:pStyle w:val="NormalNonumber"/>
        <w:numPr>
          <w:ilvl w:val="0"/>
          <w:numId w:val="16"/>
        </w:numPr>
        <w:tabs>
          <w:tab w:val="clear" w:pos="1247"/>
          <w:tab w:val="clear" w:pos="1871"/>
          <w:tab w:val="clear" w:pos="2495"/>
          <w:tab w:val="clear" w:pos="3119"/>
          <w:tab w:val="clear" w:pos="3742"/>
          <w:tab w:val="clear" w:pos="4366"/>
          <w:tab w:val="clear" w:pos="4990"/>
        </w:tabs>
        <w:ind w:left="1247" w:firstLine="624"/>
        <w:rPr>
          <w:lang w:val="es-ES_tradnl"/>
        </w:rPr>
      </w:pPr>
      <w:r w:rsidRPr="00B84488">
        <w:rPr>
          <w:lang w:val="es-ES_tradnl"/>
        </w:rPr>
        <w:t>Hacer notar</w:t>
      </w:r>
      <w:r w:rsidRPr="00B84488">
        <w:rPr>
          <w:i/>
          <w:iCs/>
          <w:lang w:val="es-ES_tradnl"/>
        </w:rPr>
        <w:t xml:space="preserve"> </w:t>
      </w:r>
      <w:r w:rsidRPr="00B84488">
        <w:rPr>
          <w:lang w:val="es-ES_tradnl"/>
        </w:rPr>
        <w:t xml:space="preserve">que, a 30 de octubre de 2026, 188 de las 198 Partes que debían </w:t>
      </w:r>
      <w:proofErr w:type="spellStart"/>
      <w:proofErr w:type="gramStart"/>
      <w:r w:rsidRPr="00B84488">
        <w:rPr>
          <w:lang w:val="es-ES_tradnl"/>
        </w:rPr>
        <w:t>haber</w:t>
      </w:r>
      <w:r w:rsidR="00B84488">
        <w:rPr>
          <w:lang w:val="es-ES_tradnl"/>
        </w:rPr>
        <w:t>El</w:t>
      </w:r>
      <w:proofErr w:type="spellEnd"/>
      <w:r w:rsidR="00B84488">
        <w:rPr>
          <w:lang w:val="es-ES_tradnl"/>
        </w:rPr>
        <w:t xml:space="preserve">  </w:t>
      </w:r>
      <w:r w:rsidRPr="00B84488">
        <w:rPr>
          <w:lang w:val="es-ES_tradnl"/>
        </w:rPr>
        <w:t>presentado</w:t>
      </w:r>
      <w:proofErr w:type="gramEnd"/>
      <w:r w:rsidRPr="00B84488">
        <w:rPr>
          <w:lang w:val="es-ES_tradnl"/>
        </w:rPr>
        <w:t xml:space="preserve"> datos correspondientes a 2025 ya lo habían hecho, que 136 de esas Partes habían presentado sus datos a través del sistema de presentación de datos en línea y que 171 Partes habían presentado sus datos antes del 30 de septiembre de 2026, de conformidad con el párrafo 3 del artículo</w:t>
      </w:r>
      <w:r w:rsidR="00067462" w:rsidRPr="00B84488">
        <w:rPr>
          <w:lang w:val="es-ES_tradnl"/>
        </w:rPr>
        <w:t> </w:t>
      </w:r>
      <w:r w:rsidRPr="00B84488">
        <w:rPr>
          <w:lang w:val="es-ES_tradnl"/>
        </w:rPr>
        <w:t>7 del Protocolo de Montreal relativo a las Sustancias que Agotan la Capa de Ozono;</w:t>
      </w:r>
    </w:p>
    <w:p w14:paraId="7FBBA341" w14:textId="3F5B6EA9" w:rsidR="00186046" w:rsidRPr="00B84488" w:rsidRDefault="00186046" w:rsidP="002A6493">
      <w:pPr>
        <w:pStyle w:val="NormalNonumber"/>
        <w:numPr>
          <w:ilvl w:val="0"/>
          <w:numId w:val="16"/>
        </w:numPr>
        <w:ind w:left="1247" w:firstLine="624"/>
        <w:rPr>
          <w:lang w:val="es-ES_tradnl"/>
        </w:rPr>
      </w:pPr>
      <w:r w:rsidRPr="00B84488">
        <w:rPr>
          <w:lang w:val="es-ES_tradnl"/>
        </w:rPr>
        <w:t>Hacer notar con aprecio que 96 de las Partes que presentaron sus datos correspondientes a 2025 lo hicieron antes del 30 de junio de 2026, de conformidad con la exhortación formulada en la decisión XV/15, y que la presentación de datos antes del 30 de junio de cada año facilita en gran medida la labor que realiza el Comité Ejecutivo del Fondo Multilateral para la Aplicación del Protocolo de Montreal a fin de ayudar a las Partes que operan al amparo del párrafo 1 del artículo 5 del Protocolo a cumplir las medidas de control previstas en el Protocolo;</w:t>
      </w:r>
    </w:p>
    <w:p w14:paraId="7CC80288" w14:textId="6C40AAF9" w:rsidR="00403B64" w:rsidRPr="00B84488" w:rsidRDefault="00B96B66" w:rsidP="00403B64">
      <w:pPr>
        <w:pStyle w:val="NormalNonumber"/>
        <w:numPr>
          <w:ilvl w:val="0"/>
          <w:numId w:val="16"/>
        </w:numPr>
        <w:ind w:left="1247" w:firstLine="624"/>
        <w:rPr>
          <w:lang w:val="es-ES_tradnl"/>
        </w:rPr>
      </w:pPr>
      <w:r w:rsidRPr="00B84488">
        <w:rPr>
          <w:lang w:val="es-ES_tradnl"/>
        </w:rPr>
        <w:t>Hacer notar</w:t>
      </w:r>
      <w:r w:rsidR="00186046" w:rsidRPr="00B84488">
        <w:rPr>
          <w:lang w:val="es-ES_tradnl"/>
        </w:rPr>
        <w:t xml:space="preserve"> con preocupación que, a 30 de octubre de 2026, diez Partes, a saber, Argelia, Côte d’Ivoire, Croacia,</w:t>
      </w:r>
      <w:r w:rsidRPr="00B84488">
        <w:rPr>
          <w:lang w:val="es-ES_tradnl"/>
        </w:rPr>
        <w:t xml:space="preserve"> </w:t>
      </w:r>
      <w:r w:rsidR="00186046" w:rsidRPr="00B84488">
        <w:rPr>
          <w:lang w:val="es-ES_tradnl"/>
        </w:rPr>
        <w:t>el Estado de Palestina, Nepal, Nicaragua, la República de Moldova, la</w:t>
      </w:r>
      <w:r w:rsidR="00067462" w:rsidRPr="00B84488">
        <w:rPr>
          <w:lang w:val="es-ES_tradnl"/>
        </w:rPr>
        <w:t> </w:t>
      </w:r>
      <w:r w:rsidR="00186046" w:rsidRPr="00B84488">
        <w:rPr>
          <w:lang w:val="es-ES_tradnl"/>
        </w:rPr>
        <w:t>República Popular Democrática de Corea, Rumanía y San Marino, no habían comunicado sus datos</w:t>
      </w:r>
      <w:r w:rsidR="00067462" w:rsidRPr="00B84488">
        <w:rPr>
          <w:lang w:val="es-ES_tradnl"/>
        </w:rPr>
        <w:t> </w:t>
      </w:r>
      <w:r w:rsidR="00186046" w:rsidRPr="00B84488">
        <w:rPr>
          <w:lang w:val="es-ES_tradnl"/>
        </w:rPr>
        <w:t>correspondientes a 2025 y que de resultas de ello esas Partes se encuentran en situación de incumplimiento de sus obligaciones de presentación de datos en virtud de lo dispuesto en el párrafo 3 del artículo 7 del Protocolo de Montreal hasta el momento en que la Secretaría del Ozono reciba los datos pendientes;</w:t>
      </w:r>
    </w:p>
    <w:p w14:paraId="58BC2E6C" w14:textId="035DB56A" w:rsidR="00403B64" w:rsidRPr="00B84488" w:rsidRDefault="00403B64" w:rsidP="00403B64">
      <w:pPr>
        <w:pStyle w:val="NormalNonumber"/>
        <w:numPr>
          <w:ilvl w:val="0"/>
          <w:numId w:val="16"/>
        </w:numPr>
        <w:ind w:left="1247" w:firstLine="624"/>
        <w:rPr>
          <w:lang w:val="es-ES_tradnl"/>
        </w:rPr>
      </w:pPr>
      <w:r w:rsidRPr="00B84488">
        <w:rPr>
          <w:lang w:val="es-ES_tradnl"/>
        </w:rPr>
        <w:t>Hacer notar con preocupación también que tres Partes que operan al amparo del párrafo 1 del artículo 5, a saber, Mauritania, Nepal y la República Centroafricana, que han ratificado la</w:t>
      </w:r>
      <w:r w:rsidR="00067462" w:rsidRPr="00B84488">
        <w:rPr>
          <w:lang w:val="es-ES_tradnl"/>
        </w:rPr>
        <w:t> </w:t>
      </w:r>
      <w:r w:rsidRPr="00B84488">
        <w:rPr>
          <w:lang w:val="es-ES_tradnl"/>
        </w:rPr>
        <w:t xml:space="preserve">Enmienda de Kigali al Protocolo de Montreal y que deberían haber presentado datos de referencia sobre las sustancias del anexo F (hidrofluorocarbonos), según se exige en el párrafo 2 del artículo 7 del Protocolo de Montreal, no los habían presentado a 30 de octubre de 2026, por lo que se encuentran en </w:t>
      </w:r>
      <w:r w:rsidRPr="00B84488">
        <w:rPr>
          <w:lang w:val="es-ES_tradnl"/>
        </w:rPr>
        <w:lastRenderedPageBreak/>
        <w:t>situación de incumplimiento de las obligaciones en materia de presentación de datos que les impone el Protocolo de Montreal mientras la Secretaría del Ozono no reciba los datos de referencia pendientes sobre los hidrofluorocarbonos;</w:t>
      </w:r>
    </w:p>
    <w:p w14:paraId="427158E0" w14:textId="10D5610F" w:rsidR="00186046" w:rsidRPr="00B84488" w:rsidRDefault="00186046" w:rsidP="00186046">
      <w:pPr>
        <w:pStyle w:val="NormalNonumber"/>
        <w:numPr>
          <w:ilvl w:val="0"/>
          <w:numId w:val="16"/>
        </w:numPr>
        <w:ind w:left="1247" w:firstLine="624"/>
        <w:rPr>
          <w:lang w:val="es-ES_tradnl"/>
        </w:rPr>
      </w:pPr>
      <w:r w:rsidRPr="00B84488">
        <w:rPr>
          <w:lang w:val="es-ES_tradnl"/>
        </w:rPr>
        <w:t>Hacer notar que la falta de presentación oportuna de datos por las Partes impide realizar una vigilancia y evaluación eficaces del cumplimiento por las Partes de sus obligaciones dimanantes del Protocolo de Montreal;</w:t>
      </w:r>
    </w:p>
    <w:p w14:paraId="116B6324" w14:textId="5FFA1698" w:rsidR="00186046" w:rsidRPr="00B84488" w:rsidRDefault="00186046" w:rsidP="00186046">
      <w:pPr>
        <w:pStyle w:val="NormalNonumber"/>
        <w:numPr>
          <w:ilvl w:val="0"/>
          <w:numId w:val="16"/>
        </w:numPr>
        <w:ind w:left="1247" w:firstLine="624"/>
        <w:rPr>
          <w:lang w:val="es-ES_tradnl"/>
        </w:rPr>
      </w:pPr>
      <w:r w:rsidRPr="00B84488">
        <w:rPr>
          <w:lang w:val="es-ES_tradnl"/>
        </w:rPr>
        <w:t>Instar</w:t>
      </w:r>
      <w:r w:rsidRPr="00B84488">
        <w:rPr>
          <w:i/>
          <w:iCs/>
          <w:lang w:val="es-ES_tradnl"/>
        </w:rPr>
        <w:t xml:space="preserve"> </w:t>
      </w:r>
      <w:r w:rsidRPr="00B84488">
        <w:rPr>
          <w:lang w:val="es-ES_tradnl"/>
        </w:rPr>
        <w:t>a las Partes enumeradas en los párrafos 3 y 4 a que faciliten los datos requeridos a la Secretaría lo antes posible;</w:t>
      </w:r>
    </w:p>
    <w:p w14:paraId="5FC726C8" w14:textId="45B0ECFD" w:rsidR="00186046" w:rsidRPr="00B84488" w:rsidRDefault="00186046" w:rsidP="00186046">
      <w:pPr>
        <w:pStyle w:val="NormalNonumber"/>
        <w:numPr>
          <w:ilvl w:val="0"/>
          <w:numId w:val="16"/>
        </w:numPr>
        <w:ind w:left="1247" w:firstLine="624"/>
        <w:rPr>
          <w:lang w:val="es-ES_tradnl"/>
        </w:rPr>
      </w:pPr>
      <w:r w:rsidRPr="00B84488">
        <w:rPr>
          <w:lang w:val="es-ES_tradnl"/>
        </w:rPr>
        <w:t>Solicitar al Comité de Aplicación establecido con arreglo al Procedimiento relativo al Incumplimiento del Protocolo de Montreal que examine la situación de esas Partes en su 78ª reunión;</w:t>
      </w:r>
    </w:p>
    <w:p w14:paraId="7627A42A" w14:textId="77777777" w:rsidR="00186046" w:rsidRPr="00B84488" w:rsidRDefault="00186046" w:rsidP="00186046">
      <w:pPr>
        <w:pStyle w:val="NormalNonumber"/>
        <w:numPr>
          <w:ilvl w:val="0"/>
          <w:numId w:val="16"/>
        </w:numPr>
        <w:ind w:left="1247" w:firstLine="624"/>
        <w:rPr>
          <w:lang w:val="es-ES_tradnl"/>
        </w:rPr>
      </w:pPr>
      <w:r w:rsidRPr="00B84488">
        <w:rPr>
          <w:lang w:val="es-ES_tradnl"/>
        </w:rPr>
        <w:t>Alentar</w:t>
      </w:r>
      <w:r w:rsidRPr="00B84488">
        <w:rPr>
          <w:i/>
          <w:iCs/>
          <w:lang w:val="es-ES_tradnl"/>
        </w:rPr>
        <w:t xml:space="preserve"> </w:t>
      </w:r>
      <w:r w:rsidRPr="00B84488">
        <w:rPr>
          <w:lang w:val="es-ES_tradnl"/>
        </w:rPr>
        <w:t>a las Partes a que continúen comunicando los datos sobre consumo y producción en cuanto dispongan de esa información y preferiblemente antes del 30 de junio de cada año, como se las alentó a hacer en la decisión XV/15 y en decisiones posteriores sobre el asunto.</w:t>
      </w:r>
    </w:p>
    <w:p w14:paraId="445C76C7" w14:textId="5D22E0CE" w:rsidR="0026394D" w:rsidRPr="00B84488" w:rsidRDefault="00385346" w:rsidP="00385346">
      <w:pPr>
        <w:pStyle w:val="CH1"/>
        <w:rPr>
          <w:lang w:val="es-ES_tradnl"/>
        </w:rPr>
      </w:pPr>
      <w:r w:rsidRPr="00B84488">
        <w:rPr>
          <w:lang w:val="es-ES_tradnl"/>
        </w:rPr>
        <w:tab/>
      </w:r>
      <w:r w:rsidRPr="00B84488">
        <w:rPr>
          <w:lang w:val="es-ES_tradnl"/>
        </w:rPr>
        <w:tab/>
      </w:r>
      <w:r w:rsidRPr="00B84488">
        <w:rPr>
          <w:bCs/>
          <w:lang w:val="es-ES_tradnl"/>
        </w:rPr>
        <w:t>Proyecto de decisión XXXVIII/[--]: incumplimiento del Protocolo de Montreal por Cabo Verde</w:t>
      </w:r>
    </w:p>
    <w:p w14:paraId="06F46987" w14:textId="4480B4F3" w:rsidR="0026394D" w:rsidRPr="00B84488" w:rsidRDefault="0026394D" w:rsidP="0026394D">
      <w:pPr>
        <w:tabs>
          <w:tab w:val="left" w:pos="624"/>
        </w:tabs>
        <w:adjustRightInd w:val="0"/>
        <w:snapToGrid w:val="0"/>
        <w:spacing w:after="120"/>
        <w:ind w:left="1247" w:firstLine="624"/>
        <w:rPr>
          <w:iCs/>
          <w:lang w:val="es-ES_tradnl"/>
        </w:rPr>
      </w:pPr>
      <w:r w:rsidRPr="00B84488">
        <w:rPr>
          <w:i/>
          <w:iCs/>
          <w:lang w:val="es-ES_tradnl"/>
        </w:rPr>
        <w:t>La 38ª Reunión de las Partes decide:</w:t>
      </w:r>
    </w:p>
    <w:p w14:paraId="6E683921" w14:textId="34E647B9" w:rsidR="00427208" w:rsidRPr="00B84488" w:rsidRDefault="00427208"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preocupación que el consumo anual de 108.546 toneladas de CO₂ equivalente de las sustancias controladas que figuran en el anexo F del Protocolo de Montreal relativo a las Sustancias que Agotan la Capa de Ozono (hidrofluorocarbonos) de Cabo Verde para 2024 supera el consumo máximo autorizado para la Parte de 38.791 toneladas de CO₂ equivalente de sustancias controladas para ese año y que, por consiguiente, la Parte incumple las medidas de control del consumo de hidrofluorocarbonos previstas en el Protocolo de Montreal para ese año;</w:t>
      </w:r>
    </w:p>
    <w:p w14:paraId="2F64A8FD" w14:textId="48DFAEC4" w:rsidR="00427208" w:rsidRPr="00B84488" w:rsidRDefault="00427208"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aprecio</w:t>
      </w:r>
      <w:r w:rsidR="00B96B66" w:rsidRPr="00B84488">
        <w:rPr>
          <w:lang w:val="es-ES_tradnl"/>
        </w:rPr>
        <w:t xml:space="preserve"> </w:t>
      </w:r>
      <w:r w:rsidRPr="00B84488">
        <w:rPr>
          <w:lang w:val="es-ES_tradnl"/>
        </w:rPr>
        <w:t>que Cabo Verde ha comunicado un consumo anual de 32.031 toneladas de CO₂ equivalente de hidrofluorocarbonos para 2025, cifra que se sitúa por debajo del consumo máximo permitido para esa Parte, fijado en 38.791 toneladas de CO₂ equivalente de esas sustancias reguladas en ese año, y que, por lo tanto, la Parte ha vuelto a una situación de cumplimiento respecto de sus obligaciones en materia de consumo de hidrofluorocarbonos en virtud del Protocolo de</w:t>
      </w:r>
      <w:r w:rsidR="00B84488">
        <w:rPr>
          <w:lang w:val="es-ES_tradnl"/>
        </w:rPr>
        <w:t> </w:t>
      </w:r>
      <w:r w:rsidRPr="00B84488">
        <w:rPr>
          <w:lang w:val="es-ES_tradnl"/>
        </w:rPr>
        <w:t>Montreal;</w:t>
      </w:r>
    </w:p>
    <w:p w14:paraId="43B3D172" w14:textId="6BD16BC7" w:rsidR="00427208" w:rsidRPr="00B84488" w:rsidRDefault="00427208"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aprecio también la presentación por Cabo Verde de un plan de acción en</w:t>
      </w:r>
      <w:r w:rsidR="00067462" w:rsidRPr="00B84488">
        <w:rPr>
          <w:lang w:val="es-ES_tradnl"/>
        </w:rPr>
        <w:t> </w:t>
      </w:r>
      <w:r w:rsidRPr="00B84488">
        <w:rPr>
          <w:lang w:val="es-ES_tradnl"/>
        </w:rPr>
        <w:t xml:space="preserve">el que se </w:t>
      </w:r>
      <w:r w:rsidR="00634A7E" w:rsidRPr="00B84488">
        <w:rPr>
          <w:lang w:val="es-ES_tradnl"/>
        </w:rPr>
        <w:t xml:space="preserve">indican </w:t>
      </w:r>
      <w:r w:rsidRPr="00B84488">
        <w:rPr>
          <w:lang w:val="es-ES_tradnl"/>
        </w:rPr>
        <w:t>las medidas correctoras que la Parte ha aplicado para mantener sus esfuerzos de</w:t>
      </w:r>
      <w:r w:rsidR="00067462" w:rsidRPr="00B84488">
        <w:rPr>
          <w:lang w:val="es-ES_tradnl"/>
        </w:rPr>
        <w:t> </w:t>
      </w:r>
      <w:r w:rsidRPr="00B84488">
        <w:rPr>
          <w:lang w:val="es-ES_tradnl"/>
        </w:rPr>
        <w:t>aplicación;</w:t>
      </w:r>
    </w:p>
    <w:p w14:paraId="7282EB47" w14:textId="64B077CD" w:rsidR="0026394D" w:rsidRPr="00B84488" w:rsidRDefault="0026394D"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Que no es necesario seguir adoptando medidas, habida cuenta de que la Parte ha retornado a una situación de cumplimiento respecto de las medidas de control de los hidrofluorocarbonos establecidas en el Protocolo de Montreal;</w:t>
      </w:r>
    </w:p>
    <w:p w14:paraId="2388FE5A" w14:textId="6B775BC7" w:rsidR="0026394D" w:rsidRPr="00B84488" w:rsidRDefault="0026394D" w:rsidP="00C2545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Instar a la Parte a que siga cumpliendo sus obligaciones en virtud del Protocolo de</w:t>
      </w:r>
      <w:r w:rsidR="00067462" w:rsidRPr="00B84488">
        <w:rPr>
          <w:lang w:val="es-ES_tradnl"/>
        </w:rPr>
        <w:t> </w:t>
      </w:r>
      <w:r w:rsidRPr="00B84488">
        <w:rPr>
          <w:lang w:val="es-ES_tradnl"/>
        </w:rPr>
        <w:t>Montreal.</w:t>
      </w:r>
    </w:p>
    <w:p w14:paraId="3FB9E074" w14:textId="174EF1B4" w:rsidR="007E5B5B" w:rsidRPr="00B84488" w:rsidRDefault="00385346" w:rsidP="00385346">
      <w:pPr>
        <w:pStyle w:val="CH1"/>
        <w:rPr>
          <w:lang w:val="es-ES_tradnl"/>
        </w:rPr>
      </w:pPr>
      <w:r w:rsidRPr="00B84488">
        <w:rPr>
          <w:lang w:val="es-ES_tradnl"/>
        </w:rPr>
        <w:tab/>
      </w:r>
      <w:r w:rsidRPr="00B84488">
        <w:rPr>
          <w:lang w:val="es-ES_tradnl"/>
        </w:rPr>
        <w:tab/>
      </w:r>
      <w:r w:rsidRPr="00B84488">
        <w:rPr>
          <w:bCs/>
          <w:lang w:val="es-ES_tradnl"/>
        </w:rPr>
        <w:t>Proyecto de decisión XXXVIII/[--]: incumplimiento del Protocolo de Montreal por Guinea</w:t>
      </w:r>
    </w:p>
    <w:p w14:paraId="553DDDFC" w14:textId="470B09B7" w:rsidR="007E5B5B" w:rsidRPr="00B84488" w:rsidRDefault="007E5B5B" w:rsidP="007E5B5B">
      <w:pPr>
        <w:tabs>
          <w:tab w:val="left" w:pos="624"/>
        </w:tabs>
        <w:adjustRightInd w:val="0"/>
        <w:snapToGrid w:val="0"/>
        <w:spacing w:after="120"/>
        <w:ind w:left="1247" w:firstLine="624"/>
        <w:rPr>
          <w:iCs/>
          <w:lang w:val="es-ES_tradnl"/>
        </w:rPr>
      </w:pPr>
      <w:r w:rsidRPr="00B84488">
        <w:rPr>
          <w:i/>
          <w:iCs/>
          <w:lang w:val="es-ES_tradnl"/>
        </w:rPr>
        <w:t>La 38ª Reunión de las Partes decide:</w:t>
      </w:r>
    </w:p>
    <w:p w14:paraId="4179EA0F" w14:textId="2227FA8A" w:rsidR="007E5B5B" w:rsidRPr="00B84488"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rPr>
          <w:iCs/>
          <w:lang w:val="es-ES_tradnl"/>
        </w:rPr>
      </w:pPr>
      <w:r w:rsidRPr="00B84488">
        <w:rPr>
          <w:lang w:val="es-ES_tradnl"/>
        </w:rPr>
        <w:t>Observar con preocupación</w:t>
      </w:r>
      <w:r w:rsidRPr="00B84488">
        <w:rPr>
          <w:i/>
          <w:iCs/>
          <w:lang w:val="es-ES_tradnl"/>
        </w:rPr>
        <w:t xml:space="preserve"> </w:t>
      </w:r>
      <w:r w:rsidRPr="00B84488">
        <w:rPr>
          <w:lang w:val="es-ES_tradnl"/>
        </w:rPr>
        <w:t>que el consumo anual de 1.836.016 toneladas de CO₂ equivalente de las sustancias controladas que figuran en el anexo F del Protocolo de Montreal relativo a las Sustancias que Agotan la Capa de Ozono (hidrofluorocarbonos) de Guinea para 2024 supera el consumo máximo autorizado para la Parte de 1.798.954 toneladas de CO₂ equivalente de sustancias controladas para ese año y que, por consiguiente, la Parte incumple las medidas de control del consumo de hidrofluorocarbonos previstas en el Protocolo de Montreal;</w:t>
      </w:r>
    </w:p>
    <w:p w14:paraId="7D150F4C" w14:textId="36B74E5E" w:rsidR="007E5B5B" w:rsidRPr="00B84488"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rPr>
          <w:iCs/>
          <w:lang w:val="es-ES_tradnl"/>
        </w:rPr>
      </w:pPr>
      <w:r w:rsidRPr="00B84488">
        <w:rPr>
          <w:lang w:val="es-ES_tradnl"/>
        </w:rPr>
        <w:t>Observar con aprecio</w:t>
      </w:r>
      <w:r w:rsidR="00B96B66" w:rsidRPr="00B84488">
        <w:rPr>
          <w:lang w:val="es-ES_tradnl"/>
        </w:rPr>
        <w:t xml:space="preserve"> </w:t>
      </w:r>
      <w:r w:rsidRPr="00B84488">
        <w:rPr>
          <w:lang w:val="es-ES_tradnl"/>
        </w:rPr>
        <w:t>que Guinea ha comunicado un consumo anual de 1.762.443 toneladas de CO₂ equivalente de hidrofluorocarbonos para 2025, cifra que se sitúa por debajo del consumo máximo permitido para esa Parte, fijado en 1.798.954 toneladas de CO₂ equivalente de esas sustancias reguladas en ese año, y que, por lo tanto, la Parte ha vuelto a una situación de cumplimiento respecto de sus obligaciones en materia de consumo de hidrofluorocarbonos en virtud del Protocolo de</w:t>
      </w:r>
      <w:r w:rsidR="00067462" w:rsidRPr="00B84488">
        <w:rPr>
          <w:lang w:val="es-ES_tradnl"/>
        </w:rPr>
        <w:t> </w:t>
      </w:r>
      <w:r w:rsidRPr="00B84488">
        <w:rPr>
          <w:lang w:val="es-ES_tradnl"/>
        </w:rPr>
        <w:t>Montreal;</w:t>
      </w:r>
    </w:p>
    <w:p w14:paraId="2BF8CC40" w14:textId="22A904EA" w:rsidR="007E5B5B" w:rsidRPr="00B84488"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lastRenderedPageBreak/>
        <w:t>Que no es necesario seguir adoptando medidas, habida cuenta de que la Parte ha retornado a una situación de cumplimiento respecto de las medidas de control de los hidrofluorocarbonos establecidas en el Protocolo de Montreal;</w:t>
      </w:r>
    </w:p>
    <w:p w14:paraId="7E161063" w14:textId="7E783F85" w:rsidR="007E5B5B" w:rsidRPr="00B84488" w:rsidRDefault="007E5B5B" w:rsidP="00C2545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Instar a la Parte a que siga cumpliendo sus obligaciones en virtud del Protocolo de</w:t>
      </w:r>
      <w:r w:rsidR="00D334DD" w:rsidRPr="00B84488">
        <w:rPr>
          <w:lang w:val="es-ES_tradnl"/>
        </w:rPr>
        <w:t> </w:t>
      </w:r>
      <w:r w:rsidRPr="00B84488">
        <w:rPr>
          <w:lang w:val="es-ES_tradnl"/>
        </w:rPr>
        <w:t>Montreal.</w:t>
      </w:r>
    </w:p>
    <w:p w14:paraId="34A48874" w14:textId="59B64473" w:rsidR="00506ED8" w:rsidRPr="00B84488" w:rsidRDefault="00385346" w:rsidP="00385346">
      <w:pPr>
        <w:pStyle w:val="CH1"/>
        <w:rPr>
          <w:lang w:val="es-ES_tradnl"/>
        </w:rPr>
      </w:pPr>
      <w:r w:rsidRPr="00B84488">
        <w:rPr>
          <w:lang w:val="es-ES_tradnl"/>
        </w:rPr>
        <w:tab/>
      </w:r>
      <w:r w:rsidRPr="00B84488">
        <w:rPr>
          <w:lang w:val="es-ES_tradnl"/>
        </w:rPr>
        <w:tab/>
      </w:r>
      <w:r w:rsidRPr="00B84488">
        <w:rPr>
          <w:bCs/>
          <w:lang w:val="es-ES_tradnl"/>
        </w:rPr>
        <w:t>Proyecto de decisión XXXVIII/[--]: incumplimiento del Protocolo de Montreal por Israel</w:t>
      </w:r>
    </w:p>
    <w:p w14:paraId="72CF77DE" w14:textId="0B51F0A8" w:rsidR="00506ED8" w:rsidRPr="00B84488" w:rsidRDefault="00506ED8" w:rsidP="00506ED8">
      <w:pPr>
        <w:tabs>
          <w:tab w:val="left" w:pos="624"/>
        </w:tabs>
        <w:adjustRightInd w:val="0"/>
        <w:snapToGrid w:val="0"/>
        <w:spacing w:after="120"/>
        <w:ind w:left="1247" w:firstLine="624"/>
        <w:rPr>
          <w:iCs/>
          <w:lang w:val="es-ES_tradnl"/>
        </w:rPr>
      </w:pPr>
      <w:r w:rsidRPr="00B84488">
        <w:rPr>
          <w:i/>
          <w:iCs/>
          <w:lang w:val="es-ES_tradnl"/>
        </w:rPr>
        <w:t>La 38ª Reunión de las Partes decide:</w:t>
      </w:r>
    </w:p>
    <w:p w14:paraId="45EEB561" w14:textId="6C0FFBCE" w:rsidR="000F1671" w:rsidRPr="00B84488" w:rsidRDefault="000F1671"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preocupación que el consumo anual de 4,33 toneladas de potencial de</w:t>
      </w:r>
      <w:r w:rsidR="00D334DD" w:rsidRPr="00B84488">
        <w:rPr>
          <w:lang w:val="es-ES_tradnl"/>
        </w:rPr>
        <w:t> </w:t>
      </w:r>
      <w:r w:rsidRPr="00B84488">
        <w:rPr>
          <w:lang w:val="es-ES_tradnl"/>
        </w:rPr>
        <w:t>agotamiento del ozono (toneladas PAO) de las sustancias controladas del anexo C, grupo I (hidroclorofluorocarbonos), en 2024 por parte de Israel superó el consumo máximo permitido a esa Parte de 1,6 toneladas de toneladas PAO para las sustancias controladas en ese año y que, por lo tanto, la Parte incumplió las medidas de control del consumo de hidroclorofluorocarbonos previstas en el Protocolo de Montreal relativo a las Sustancias que Agotan la Capa de Ozono;</w:t>
      </w:r>
    </w:p>
    <w:p w14:paraId="71B11DC8" w14:textId="6397EDF9" w:rsidR="000F1671" w:rsidRPr="00B84488" w:rsidRDefault="000F1671"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aprecio</w:t>
      </w:r>
      <w:r w:rsidR="00B96B66" w:rsidRPr="00B84488">
        <w:rPr>
          <w:lang w:val="es-ES_tradnl"/>
        </w:rPr>
        <w:t xml:space="preserve"> </w:t>
      </w:r>
      <w:r w:rsidRPr="00B84488">
        <w:rPr>
          <w:lang w:val="es-ES_tradnl"/>
        </w:rPr>
        <w:t>que Israel ha comunicado un consumo anual de 0,47 toneladas de</w:t>
      </w:r>
      <w:r w:rsidR="00D334DD" w:rsidRPr="00B84488">
        <w:rPr>
          <w:lang w:val="es-ES_tradnl"/>
        </w:rPr>
        <w:t> </w:t>
      </w:r>
      <w:r w:rsidRPr="00B84488">
        <w:rPr>
          <w:lang w:val="es-ES_tradnl"/>
        </w:rPr>
        <w:t>CO₂ equivalente de hidroclorofluorocarbonos para 2025, cifra que se sitúa por debajo del consumo máximo permitido para esa Parte, fijado en 1,6 toneladas PAO de esas sustancias reguladas en ese año, y que, por lo tanto, la Parte ha vuelto a una situación de cumplimiento respecto de sus obligaciones en materia de consumo de hidroclorofluorocarbonos en virtud del Protocolo de Montreal;</w:t>
      </w:r>
    </w:p>
    <w:p w14:paraId="6D845680" w14:textId="55B9C7FE" w:rsidR="000F1671" w:rsidRPr="00B84488" w:rsidRDefault="000F1671"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 xml:space="preserve">Observar con aprecio también la presentación por Israel de un plan de acción en el que se </w:t>
      </w:r>
      <w:r w:rsidR="00634A7E" w:rsidRPr="00B84488">
        <w:rPr>
          <w:lang w:val="es-ES_tradnl"/>
        </w:rPr>
        <w:t>mencionan</w:t>
      </w:r>
      <w:r w:rsidRPr="00B84488">
        <w:rPr>
          <w:lang w:val="es-ES_tradnl"/>
        </w:rPr>
        <w:t xml:space="preserve"> las medidas específicas que la Parte adoptaría en apoyo de sus esfuerzos de aplicación;</w:t>
      </w:r>
    </w:p>
    <w:p w14:paraId="3831A8BC" w14:textId="28E6D46A" w:rsidR="00506ED8" w:rsidRPr="00B84488" w:rsidRDefault="00506ED8" w:rsidP="00C2545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Que no es necesario seguir adoptando medidas, habida cuenta de que la Parte ha retornado a una situación de cumplimiento respecto de las medidas de control de los hidroclorofluorocarbonos establecidas en el Protocolo de Montreal;</w:t>
      </w:r>
    </w:p>
    <w:p w14:paraId="6F1C5874" w14:textId="3AE8D57E" w:rsidR="00C8658B" w:rsidRPr="00B84488" w:rsidRDefault="00506ED8" w:rsidP="00B2634E">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Instar a la Parte a que siga cumpliendo sus obligaciones en virtud del Protocolo de Montreal.</w:t>
      </w:r>
    </w:p>
    <w:p w14:paraId="1E31165A" w14:textId="28A0D0FA" w:rsidR="000569F3" w:rsidRPr="00B84488" w:rsidRDefault="00395C17" w:rsidP="00395C17">
      <w:pPr>
        <w:pStyle w:val="CH1"/>
        <w:rPr>
          <w:lang w:val="es-ES_tradnl"/>
        </w:rPr>
      </w:pPr>
      <w:r w:rsidRPr="00B84488">
        <w:rPr>
          <w:lang w:val="es-ES_tradnl"/>
        </w:rPr>
        <w:tab/>
      </w:r>
      <w:r w:rsidRPr="00B84488">
        <w:rPr>
          <w:lang w:val="es-ES_tradnl"/>
        </w:rPr>
        <w:tab/>
      </w:r>
      <w:r w:rsidRPr="00B84488">
        <w:rPr>
          <w:bCs/>
          <w:lang w:val="es-ES_tradnl"/>
        </w:rPr>
        <w:t>Proyecto de decisión XXXVIII/[--]: incumplimiento del Protocolo de Montreal por San Vicente y las Granadinas</w:t>
      </w:r>
    </w:p>
    <w:p w14:paraId="5C333942" w14:textId="77777777" w:rsidR="000569F3" w:rsidRPr="00B84488"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i/>
          <w:iCs/>
          <w:lang w:val="es-ES_tradnl"/>
        </w:rPr>
      </w:pPr>
      <w:r w:rsidRPr="00B84488">
        <w:rPr>
          <w:i/>
          <w:iCs/>
          <w:lang w:val="es-ES_tradnl"/>
        </w:rPr>
        <w:t>La 38ª Reunión de las Partes,</w:t>
      </w:r>
    </w:p>
    <w:p w14:paraId="34288C84" w14:textId="3AD21233" w:rsidR="000569F3" w:rsidRPr="00B84488"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i/>
          <w:iCs/>
          <w:lang w:val="es-ES_tradnl"/>
        </w:rPr>
        <w:t xml:space="preserve">Observando </w:t>
      </w:r>
      <w:r w:rsidRPr="00B84488">
        <w:rPr>
          <w:lang w:val="es-ES_tradnl"/>
        </w:rPr>
        <w:t>que San Vicente y las Granadinas accedió al Protocolo de Montreal relativo a las Sustancias que Agotan la Capa de Ozono, a la Enmienda de Londres y a la Enmienda de Copenhague el 2 de diciembre de 1996 y a la Enmienda de Montreal y la Enmienda de Beijing el 11 de mayo de</w:t>
      </w:r>
      <w:r w:rsidR="00D334DD" w:rsidRPr="00B84488">
        <w:rPr>
          <w:lang w:val="es-ES_tradnl"/>
        </w:rPr>
        <w:t> </w:t>
      </w:r>
      <w:r w:rsidRPr="00B84488">
        <w:rPr>
          <w:lang w:val="es-ES_tradnl"/>
        </w:rPr>
        <w:t>2009, que ratificó la Enmienda de Kigali el 7 de noviembre de 2022 y que está clasificado como Parte que opera al amparo del párrafo 1 del artículo 5 del Protocolo,</w:t>
      </w:r>
    </w:p>
    <w:p w14:paraId="12A3813E" w14:textId="2BA33C54" w:rsidR="000569F3" w:rsidRPr="00B84488"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i/>
          <w:iCs/>
          <w:lang w:val="es-ES_tradnl"/>
        </w:rPr>
        <w:t xml:space="preserve">Observando también </w:t>
      </w:r>
      <w:r w:rsidRPr="00B84488">
        <w:rPr>
          <w:lang w:val="es-ES_tradnl"/>
        </w:rPr>
        <w:t>que el Comité Ejecutivo del Fondo Multilateral para la Aplicación del Protocolo de Montreal ha aprobado 2.124.493 dólares de los Estados Unidos con cargo al Fondo Multilateral, de conformidad con el artículo 10 del Protocolo, a fin de que San Vicente y las Granadinas pueda lograr el cumplimiento del Protocolo,</w:t>
      </w:r>
    </w:p>
    <w:p w14:paraId="25A1E079" w14:textId="5CB8AB92" w:rsidR="000569F3" w:rsidRPr="00B84488"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i/>
          <w:iCs/>
          <w:lang w:val="es-ES_tradnl"/>
        </w:rPr>
        <w:t xml:space="preserve">Observando además </w:t>
      </w:r>
      <w:r w:rsidRPr="00B84488">
        <w:rPr>
          <w:lang w:val="es-ES_tradnl"/>
        </w:rPr>
        <w:t>que el consumo anual de 45.975 toneladas de CO₂ equivalente de las</w:t>
      </w:r>
      <w:r w:rsidR="00B84488">
        <w:rPr>
          <w:lang w:val="es-ES_tradnl"/>
        </w:rPr>
        <w:t> </w:t>
      </w:r>
      <w:r w:rsidRPr="00B84488">
        <w:rPr>
          <w:lang w:val="es-ES_tradnl"/>
        </w:rPr>
        <w:t>sustancias controladas que figuran en el anexo F (hidrofluorocarbonos) de San Vicente y las Granadinas para 2024 supera el consumo máximo autorizado para la Parte de 25.280 toneladas de CO₂ equivalente de sustancias controladas para ese año y que, por consiguiente, la Parte incumple las medidas de control del consumo de hidrofluorocarbonos previstas en el Protocolo de Montreal;</w:t>
      </w:r>
    </w:p>
    <w:p w14:paraId="4E2D373B" w14:textId="77777777" w:rsidR="000569F3" w:rsidRPr="00B84488"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i/>
          <w:iCs/>
          <w:lang w:val="es-ES_tradnl"/>
        </w:rPr>
        <w:t xml:space="preserve">Tomando nota con aprecio </w:t>
      </w:r>
      <w:r w:rsidRPr="00B84488">
        <w:rPr>
          <w:lang w:val="es-ES_tradnl"/>
        </w:rPr>
        <w:t>de que el consumo anual de 17.599 toneladas de CO₂ equivalente de las sustancias controladas del anexo F (hidrofluorocarbonos) en 2025 por parte de San Vicente y las Granadinas es inferior al consumo máximo permitido para esa Parte, que asciende a 25.280 toneladas de CO₂ equivalente, para las sustancias controladas en ese año,</w:t>
      </w:r>
    </w:p>
    <w:p w14:paraId="37ACB1E5" w14:textId="77777777" w:rsidR="000569F3" w:rsidRPr="00B84488" w:rsidRDefault="000569F3" w:rsidP="00C25458">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i/>
          <w:iCs/>
          <w:lang w:val="es-ES_tradnl"/>
        </w:rPr>
        <w:t>Decide:</w:t>
      </w:r>
    </w:p>
    <w:p w14:paraId="77316166" w14:textId="0A7E7330" w:rsidR="000569F3" w:rsidRPr="00B84488" w:rsidRDefault="000569F3" w:rsidP="00C25458">
      <w:pPr>
        <w:pStyle w:val="Normal-pool"/>
        <w:numPr>
          <w:ilvl w:val="6"/>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Tomar nota con aprecio de la presentación por San Vicente y las Granadinas de una explicación de su incumplimiento y de un plan de acción para garantizar su vuelta a una situación de cumplimiento respecto de las medidas de control del consumo de hidrofluorocarbonos en virtud del Protocolo de Montreal relativo a las Sustancias que Agotan la Capa de Ozono en 2027;</w:t>
      </w:r>
    </w:p>
    <w:p w14:paraId="3C7283A3" w14:textId="042F0A22" w:rsidR="000569F3" w:rsidRPr="00B84488" w:rsidRDefault="000569F3" w:rsidP="00C25458">
      <w:pPr>
        <w:pStyle w:val="Normal-pool"/>
        <w:numPr>
          <w:ilvl w:val="6"/>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lastRenderedPageBreak/>
        <w:t xml:space="preserve">Tomar nota de que, en virtud de ese plan de acción y sin perjuicio del funcionamiento del mecanismo financiero del Protocolo de Montreal, San Vicente y las Granadinas se compromete específicamente a lo siguiente: </w:t>
      </w:r>
    </w:p>
    <w:p w14:paraId="1030C82E" w14:textId="77777777" w:rsidR="000569F3" w:rsidRPr="00B84488" w:rsidRDefault="000569F3" w:rsidP="00C25458">
      <w:pPr>
        <w:pStyle w:val="Normal-pool"/>
        <w:numPr>
          <w:ilvl w:val="7"/>
          <w:numId w:val="21"/>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 xml:space="preserve">Reducir su consumo de hidrofluorocarbonos de 45.975 toneladas de CO₂ equivalente en 2024 a un nivel que no supere los siguientes: </w:t>
      </w:r>
    </w:p>
    <w:p w14:paraId="3A7C3686" w14:textId="26068ABE"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Un total de 36.002 toneladas de CO₂ equivalente en 2026;</w:t>
      </w:r>
    </w:p>
    <w:p w14:paraId="4A4473CB" w14:textId="0B359C06"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Los niveles permitidos con arreglo al Protocolo de Montreal en 2027 y años posteriores;</w:t>
      </w:r>
    </w:p>
    <w:p w14:paraId="3F1B06AB" w14:textId="77777777" w:rsidR="000569F3" w:rsidRPr="00B84488" w:rsidRDefault="000569F3" w:rsidP="000569F3">
      <w:pPr>
        <w:pStyle w:val="Normal-pool"/>
        <w:numPr>
          <w:ilvl w:val="7"/>
          <w:numId w:val="21"/>
        </w:numPr>
        <w:spacing w:after="120"/>
        <w:ind w:left="1247" w:firstLine="624"/>
        <w:rPr>
          <w:lang w:val="es-ES_tradnl"/>
        </w:rPr>
      </w:pPr>
      <w:r w:rsidRPr="00B84488">
        <w:rPr>
          <w:lang w:val="es-ES_tradnl"/>
        </w:rPr>
        <w:t xml:space="preserve">Adoptar las políticas siguientes en apoyo de sus iniciativas de aplicación: </w:t>
      </w:r>
    </w:p>
    <w:p w14:paraId="0ADB9262" w14:textId="2E121719"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Promulgar normativas revisadas para reforzar y garantizar la continuidad de la supervisión y el cumplimiento de los sistemas de concesión de licencias y cuotas para 2027;</w:t>
      </w:r>
    </w:p>
    <w:p w14:paraId="248B7F49" w14:textId="017BE527"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Introducir programas obligatorios de formación y certificación sobre el uso y la manipulación seguros de tecnologías alternativas mediante la aplicación de la fase I de su plan de ejecución de las actividades relativas a los HFC conforme a la Enmienda de Kigali, dirigidos a los nuevos técnicos y a los técnicos ya en activo que deseen ascender a los niveles II y III dentro de la estructura de certificación establecida en la normativa revisada;</w:t>
      </w:r>
    </w:p>
    <w:p w14:paraId="169EEA84" w14:textId="269A8F5E"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Aplicar una prohibición de los equipos basados en hidrofluorocarbonos con alto potencial de calentamiento global o establecer una política para la reducción gradual de las importaciones de esos equipos durante la aplicación de la fase I de su plan de ejecución de las actividades relativas a los HFC conforme a la Enmienda de Kigali;</w:t>
      </w:r>
    </w:p>
    <w:p w14:paraId="69977902" w14:textId="5EE6B8C4"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Llevar a cabo una evaluación exhaustiva de las necesidades del mercado que sirva de base para la estrategia nacional de transición hacia alternativas sostenibles en el marco de la fase I de su plan de ejecución de las actividades relativas a los HFC conforme a la Enmienda de Kigali;</w:t>
      </w:r>
    </w:p>
    <w:p w14:paraId="730A1E43" w14:textId="67F0EFF0" w:rsidR="000569F3" w:rsidRPr="00B84488" w:rsidRDefault="000569F3" w:rsidP="00FC2004">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B84488">
        <w:rPr>
          <w:lang w:val="es-ES_tradnl"/>
        </w:rPr>
        <w:t>Llevar a cabo campañas de sensibilización dirigidas a los interesados con el fin de promover la presión desde el lado de la demanda sobre los importadores y minoristas para que ofrezcan opciones energéticamente eficientes y con un bajo potencial de calentamiento global, mediante el apoyo a la fase I de su plan de ejecución de las actividades relativas a los HFC conforme a la Enmienda de Kigali;</w:t>
      </w:r>
    </w:p>
    <w:p w14:paraId="6637D6B1" w14:textId="77777777" w:rsidR="000569F3" w:rsidRPr="00B84488" w:rsidRDefault="000569F3" w:rsidP="000569F3">
      <w:pPr>
        <w:pStyle w:val="Normal-pool"/>
        <w:numPr>
          <w:ilvl w:val="6"/>
          <w:numId w:val="21"/>
        </w:numPr>
        <w:spacing w:after="120"/>
        <w:ind w:left="1247" w:firstLine="624"/>
        <w:rPr>
          <w:lang w:val="es-ES_tradnl"/>
        </w:rPr>
      </w:pPr>
      <w:r w:rsidRPr="00B84488">
        <w:rPr>
          <w:lang w:val="es-ES_tradnl"/>
        </w:rPr>
        <w:t>Instar a San Vicente y las Granadinas a trabajar con los organismos de ejecución pertinentes en la aplicación de su plan de acción para retornar a una situación de cumplimiento;</w:t>
      </w:r>
    </w:p>
    <w:p w14:paraId="073422F0" w14:textId="01CF4597" w:rsidR="000569F3" w:rsidRPr="00B84488" w:rsidRDefault="000569F3" w:rsidP="000569F3">
      <w:pPr>
        <w:pStyle w:val="Normal-pool"/>
        <w:numPr>
          <w:ilvl w:val="6"/>
          <w:numId w:val="21"/>
        </w:numPr>
        <w:spacing w:after="120"/>
        <w:ind w:left="1247" w:firstLine="624"/>
        <w:rPr>
          <w:lang w:val="es-ES_tradnl"/>
        </w:rPr>
      </w:pPr>
      <w:r w:rsidRPr="00B84488">
        <w:rPr>
          <w:lang w:val="es-ES_tradnl"/>
        </w:rPr>
        <w:t>Seguir de cerca los adelantos logrados por San Vicente y las Granadinas en el cumplimiento de su plan de acción y la reducción de los hidrofluorocarbonos. En la medida en que la</w:t>
      </w:r>
      <w:r w:rsidR="00D334DD" w:rsidRPr="00B84488">
        <w:rPr>
          <w:lang w:val="es-ES_tradnl"/>
        </w:rPr>
        <w:t> </w:t>
      </w:r>
      <w:r w:rsidRPr="00B84488">
        <w:rPr>
          <w:lang w:val="es-ES_tradnl"/>
        </w:rPr>
        <w:t>Parte procure cumplir y cumpla las medidas de control específicas previstas en el Protocolo de Montreal, deberá seguir recibiendo el mismo trato que las Partes que cumplen sus obligaciones. En este sentido, San Vicente y las Granadinas debería seguir recibiendo asistencia internacional para poder cumplir sus compromisos de conformidad con el punto A de la lista indicativa de medidas que</w:t>
      </w:r>
      <w:r w:rsidR="00D334DD" w:rsidRPr="00B84488">
        <w:rPr>
          <w:lang w:val="es-ES_tradnl"/>
        </w:rPr>
        <w:t> </w:t>
      </w:r>
      <w:r w:rsidRPr="00B84488">
        <w:rPr>
          <w:lang w:val="es-ES_tradnl"/>
        </w:rPr>
        <w:t>la</w:t>
      </w:r>
      <w:r w:rsidR="00D334DD" w:rsidRPr="00B84488">
        <w:rPr>
          <w:lang w:val="es-ES_tradnl"/>
        </w:rPr>
        <w:t> </w:t>
      </w:r>
      <w:r w:rsidRPr="00B84488">
        <w:rPr>
          <w:lang w:val="es-ES_tradnl"/>
        </w:rPr>
        <w:t>Reunión de las Partes podría adoptar con respecto al incumplimiento;</w:t>
      </w:r>
    </w:p>
    <w:p w14:paraId="762D1478" w14:textId="1F01A2FE" w:rsidR="000569F3" w:rsidRPr="00B84488" w:rsidRDefault="000569F3" w:rsidP="000569F3">
      <w:pPr>
        <w:pStyle w:val="Normal-pool"/>
        <w:numPr>
          <w:ilvl w:val="6"/>
          <w:numId w:val="21"/>
        </w:numPr>
        <w:spacing w:after="120"/>
        <w:ind w:left="1247" w:firstLine="624"/>
        <w:rPr>
          <w:lang w:val="es-ES_tradnl"/>
        </w:rPr>
      </w:pPr>
      <w:r w:rsidRPr="00B84488">
        <w:rPr>
          <w:lang w:val="es-ES_tradnl"/>
        </w:rPr>
        <w:t>Advertir a San Vicente y las Granadinas de que, conforme al punto B de la lista indicativa de medidas que puede adoptar la Reunión de las Partes con respecto al incumplimiento, en</w:t>
      </w:r>
      <w:r w:rsidR="00D334DD" w:rsidRPr="00B84488">
        <w:rPr>
          <w:lang w:val="es-ES_tradnl"/>
        </w:rPr>
        <w:t> </w:t>
      </w:r>
      <w:r w:rsidRPr="00B84488">
        <w:rPr>
          <w:lang w:val="es-ES_tradnl"/>
        </w:rPr>
        <w:t>caso de que San Vicente y las Granadinas no regrese a una situación de cumplimiento, las Partes estudiarán la posibilidad de adoptar medidas con arreglo al punto C de esa lista. Entre esas medidas podrían contarse las previstas en el artículo 4, como la de disponer lo necesario para que cese el suministro de los hidroclorofluorocarbonos —las sustancias que son objeto del incumplimiento—, de modo que las Partes exportadoras no contribuyan a perpetuar una situación de incumplimiento.</w:t>
      </w:r>
    </w:p>
    <w:p w14:paraId="708DE306" w14:textId="77777777" w:rsidR="00D334DD" w:rsidRPr="00B84488" w:rsidRDefault="00D334DD">
      <w:pPr>
        <w:tabs>
          <w:tab w:val="clear" w:pos="1247"/>
          <w:tab w:val="clear" w:pos="1814"/>
          <w:tab w:val="clear" w:pos="2381"/>
          <w:tab w:val="clear" w:pos="2948"/>
          <w:tab w:val="clear" w:pos="3515"/>
        </w:tabs>
        <w:rPr>
          <w:b/>
          <w:sz w:val="28"/>
          <w:szCs w:val="28"/>
          <w:lang w:val="es-ES_tradnl"/>
        </w:rPr>
      </w:pPr>
      <w:r w:rsidRPr="00B84488">
        <w:rPr>
          <w:lang w:val="es-ES_tradnl"/>
        </w:rPr>
        <w:br w:type="page"/>
      </w:r>
    </w:p>
    <w:p w14:paraId="1E98D4DE" w14:textId="1CD69E91" w:rsidR="007E5B5B" w:rsidRPr="00B84488" w:rsidRDefault="00385346" w:rsidP="00385346">
      <w:pPr>
        <w:pStyle w:val="CH1"/>
        <w:rPr>
          <w:lang w:val="es-ES_tradnl"/>
        </w:rPr>
      </w:pPr>
      <w:r w:rsidRPr="00B84488">
        <w:rPr>
          <w:lang w:val="es-ES_tradnl"/>
        </w:rPr>
        <w:lastRenderedPageBreak/>
        <w:tab/>
      </w:r>
      <w:r w:rsidRPr="00B84488">
        <w:rPr>
          <w:lang w:val="es-ES_tradnl"/>
        </w:rPr>
        <w:tab/>
      </w:r>
      <w:r w:rsidRPr="00B84488">
        <w:rPr>
          <w:bCs/>
          <w:lang w:val="es-ES_tradnl"/>
        </w:rPr>
        <w:t>Proyecto de decisión XXXVIII/[--]: incumplimiento del Protocolo de Montreal por Tayikistán</w:t>
      </w:r>
    </w:p>
    <w:p w14:paraId="682B1885" w14:textId="77777777" w:rsidR="007E5B5B" w:rsidRPr="00B84488" w:rsidRDefault="007E5B5B" w:rsidP="00385346">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B84488">
        <w:rPr>
          <w:i/>
          <w:iCs/>
          <w:lang w:val="es-ES_tradnl"/>
        </w:rPr>
        <w:t>La 38ª Reunión de las Partes,</w:t>
      </w:r>
    </w:p>
    <w:p w14:paraId="58589848" w14:textId="3A355A58" w:rsidR="007E5B5B" w:rsidRPr="00B84488" w:rsidRDefault="007E5B5B" w:rsidP="00385346">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B84488">
        <w:rPr>
          <w:i/>
          <w:iCs/>
          <w:lang w:val="es-ES_tradnl"/>
        </w:rPr>
        <w:t xml:space="preserve">Recordando </w:t>
      </w:r>
      <w:r w:rsidRPr="00B84488">
        <w:rPr>
          <w:lang w:val="es-ES_tradnl"/>
        </w:rPr>
        <w:t>que, en su decisión XXXVII/15, la 37ª Reunión de las partes tomó nota de que Tayikistán había comunicado, para 2023, un consumo anual de 457.613 toneladas de CO₂ equivalente de las sustancias controladas que figuran en el anexo F del Protocolo de Montreal relativo a las Sustancias que Agotan la Capa de Ozono (hidrofluorocarbonos), que superaba el consumo máximo autorizado para la Parte de 424.270 toneladas de CO₂ equivalente de hidrofluorocarbonos para ese año</w:t>
      </w:r>
      <w:r w:rsidR="00D334DD" w:rsidRPr="00B84488">
        <w:rPr>
          <w:lang w:val="es-ES_tradnl"/>
        </w:rPr>
        <w:t> </w:t>
      </w:r>
      <w:r w:rsidRPr="00B84488">
        <w:rPr>
          <w:lang w:val="es-ES_tradnl"/>
        </w:rPr>
        <w:t>y que, por consiguiente, la Parte incumplía las medidas de control del consumo de hidrofluorocarbonos previstas en el Protocolo para ese año;</w:t>
      </w:r>
    </w:p>
    <w:p w14:paraId="59D6E68F" w14:textId="77777777" w:rsidR="007E5B5B" w:rsidRPr="00B84488" w:rsidRDefault="007E5B5B" w:rsidP="00385346">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B84488">
        <w:rPr>
          <w:i/>
          <w:iCs/>
          <w:lang w:val="es-ES_tradnl"/>
        </w:rPr>
        <w:t>Decide:</w:t>
      </w:r>
    </w:p>
    <w:p w14:paraId="2457E513" w14:textId="65B2D92C" w:rsidR="007E5B5B" w:rsidRPr="00B84488"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preocupación que el consumo anual de 456.901 toneladas de CO₂ equivalente de hidrofluorocarbonos en 2024 por parte de Tayikistán superó el consumo máximo permitido a esa Parte de 424.270 toneladas para esas sustancias controladas en ese año y que, por lo tanto, la Parte incumplió las medidas de control del consumo de hidrofluorocarbonos previstas en el Protocolo de Montreal relativo a las Sustancias que Agotan la Capa de Ozono para ese año;</w:t>
      </w:r>
    </w:p>
    <w:p w14:paraId="5AFBDDAC" w14:textId="0CCB9734" w:rsidR="007E5B5B" w:rsidRPr="00B84488"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aprecio</w:t>
      </w:r>
      <w:r w:rsidR="00B96B66" w:rsidRPr="00B84488">
        <w:rPr>
          <w:lang w:val="es-ES_tradnl"/>
        </w:rPr>
        <w:t xml:space="preserve"> </w:t>
      </w:r>
      <w:r w:rsidRPr="00B84488">
        <w:rPr>
          <w:lang w:val="es-ES_tradnl"/>
        </w:rPr>
        <w:t>que Tayikistán ha comunicado un consumo anual de 288.235 toneladas de CO₂ equivalente de hidrofluorocarbonos en 2025, cifra que se sitúa por debajo del consumo máximo permitido para esa Parte, fijado en 290.290 toneladas de CO₂ equivalente de esas sustancias reguladas en ese año, y que, por lo tanto, la Parte ha vuelto a una situación de cumplimiento respecto de sus obligaciones en materia de consumo de hidrofluorocarbonos en virtud del Protocolo de</w:t>
      </w:r>
      <w:r w:rsidR="00D334DD" w:rsidRPr="00B84488">
        <w:rPr>
          <w:lang w:val="es-ES_tradnl"/>
        </w:rPr>
        <w:t> </w:t>
      </w:r>
      <w:r w:rsidRPr="00B84488">
        <w:rPr>
          <w:lang w:val="es-ES_tradnl"/>
        </w:rPr>
        <w:t>Montreal;</w:t>
      </w:r>
    </w:p>
    <w:p w14:paraId="0B73EC2D" w14:textId="01C8A37A" w:rsidR="007E5B5B" w:rsidRPr="00B84488"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Observar con aprecio también la presentación por parte de Tayikistán de un plan de acción que incluye medidas para garantizar el cumplimiento de las medidas de control del consumo de</w:t>
      </w:r>
      <w:r w:rsidR="00D334DD" w:rsidRPr="00B84488">
        <w:rPr>
          <w:lang w:val="es-ES_tradnl"/>
        </w:rPr>
        <w:t> </w:t>
      </w:r>
      <w:r w:rsidRPr="00B84488">
        <w:rPr>
          <w:lang w:val="es-ES_tradnl"/>
        </w:rPr>
        <w:t>hidrofluorocarbonos previstas en el Protocolo de Montreal;</w:t>
      </w:r>
    </w:p>
    <w:p w14:paraId="793821E8" w14:textId="1B7AC981" w:rsidR="007E5B5B" w:rsidRPr="00B84488"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Que no es necesario seguir adoptando medidas, habida cuenta de que la Parte ha retornado a una situación de cumplimiento respecto de las medidas de control de los hidrofluorocarbonos establecidas en el Protocolo de Montreal;</w:t>
      </w:r>
    </w:p>
    <w:p w14:paraId="7979BDE2" w14:textId="323191EC" w:rsidR="007E5B5B" w:rsidRPr="00B84488" w:rsidRDefault="007E5B5B" w:rsidP="00385346">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Instar a la Parte a que siga cumpliendo sus obligaciones en virtud del Protocolo de</w:t>
      </w:r>
      <w:r w:rsidR="00D334DD" w:rsidRPr="00B84488">
        <w:rPr>
          <w:lang w:val="es-ES_tradnl"/>
        </w:rPr>
        <w:t> </w:t>
      </w:r>
      <w:r w:rsidRPr="00B84488">
        <w:rPr>
          <w:lang w:val="es-ES_tradnl"/>
        </w:rPr>
        <w:t>Montreal.</w:t>
      </w:r>
    </w:p>
    <w:p w14:paraId="61E3789B" w14:textId="76B9C591" w:rsidR="00546574" w:rsidRPr="00B84488" w:rsidRDefault="00385346" w:rsidP="00385346">
      <w:pPr>
        <w:pStyle w:val="CH1"/>
        <w:rPr>
          <w:lang w:val="es-ES_tradnl"/>
        </w:rPr>
      </w:pPr>
      <w:r w:rsidRPr="00B84488">
        <w:rPr>
          <w:lang w:val="es-ES_tradnl"/>
        </w:rPr>
        <w:tab/>
      </w:r>
      <w:r w:rsidRPr="00B84488">
        <w:rPr>
          <w:lang w:val="es-ES_tradnl"/>
        </w:rPr>
        <w:tab/>
      </w:r>
      <w:r w:rsidRPr="00B84488">
        <w:rPr>
          <w:bCs/>
          <w:lang w:val="es-ES_tradnl"/>
        </w:rPr>
        <w:t>Proyecto de decisión XXXVIII/[--]: situación del establecimiento de sistemas de concesión de licencias de conformidad con el artículo 4B, párrafo 2 bis, del Protocolo de Montreal relativo a las Sustancias que Agotan la Capa de Ozono</w:t>
      </w:r>
    </w:p>
    <w:p w14:paraId="4A56C31C" w14:textId="5287FF18" w:rsidR="00546574" w:rsidRPr="00B84488" w:rsidRDefault="00A01AD1" w:rsidP="00BB0E51">
      <w:pPr>
        <w:pStyle w:val="Normal-pool"/>
        <w:spacing w:after="240"/>
        <w:ind w:left="1170" w:firstLine="630"/>
        <w:rPr>
          <w:i/>
          <w:iCs/>
          <w:lang w:val="es-ES_tradnl"/>
        </w:rPr>
      </w:pPr>
      <w:r w:rsidRPr="00B84488">
        <w:rPr>
          <w:i/>
          <w:iCs/>
          <w:lang w:val="es-ES_tradnl"/>
        </w:rPr>
        <w:t>La 38ª Reunión de las Partes,</w:t>
      </w:r>
    </w:p>
    <w:p w14:paraId="5683CBBF" w14:textId="53EDAF6B" w:rsidR="004E05EB" w:rsidRPr="00B84488" w:rsidRDefault="00A01AD1" w:rsidP="002F48CE">
      <w:pPr>
        <w:pStyle w:val="Normal-pool"/>
        <w:spacing w:after="120"/>
        <w:ind w:left="1168" w:firstLine="629"/>
        <w:rPr>
          <w:lang w:val="es-ES_tradnl"/>
        </w:rPr>
      </w:pPr>
      <w:r w:rsidRPr="00B84488">
        <w:rPr>
          <w:i/>
          <w:iCs/>
          <w:lang w:val="es-ES_tradnl"/>
        </w:rPr>
        <w:t>Haciendo notar</w:t>
      </w:r>
      <w:r w:rsidRPr="00B84488">
        <w:rPr>
          <w:lang w:val="es-ES_tradnl"/>
        </w:rPr>
        <w:t xml:space="preserve"> que el párrafo 2 bis del artículo 4B del Protocolo de Montreal relativo a las Sustancias que Agotan la Capa de Ozono obliga a las Partes a establecer y aplicar un sistema de concesión de licencias para la importación y exportación de las sustancias controladas nuevas, usadas,</w:t>
      </w:r>
      <w:r w:rsidR="00D334DD" w:rsidRPr="00B84488">
        <w:rPr>
          <w:lang w:val="es-ES_tradnl"/>
        </w:rPr>
        <w:t> </w:t>
      </w:r>
      <w:r w:rsidRPr="00B84488">
        <w:rPr>
          <w:lang w:val="es-ES_tradnl"/>
        </w:rPr>
        <w:t>recicladas y regeneradas del anexo F del Protocolo,</w:t>
      </w:r>
    </w:p>
    <w:p w14:paraId="6A7613FB" w14:textId="0BB77196" w:rsidR="004E05EB" w:rsidRPr="00B84488" w:rsidRDefault="00A01AD1" w:rsidP="002F48CE">
      <w:pPr>
        <w:pStyle w:val="Normal-pool"/>
        <w:spacing w:after="120"/>
        <w:ind w:left="1168" w:firstLine="629"/>
        <w:rPr>
          <w:lang w:val="es-ES_tradnl"/>
        </w:rPr>
      </w:pPr>
      <w:r w:rsidRPr="00B84488">
        <w:rPr>
          <w:i/>
          <w:iCs/>
          <w:lang w:val="es-ES_tradnl"/>
        </w:rPr>
        <w:t>Haciendo notar con aprecio</w:t>
      </w:r>
      <w:r w:rsidRPr="00B84488">
        <w:rPr>
          <w:lang w:val="es-ES_tradnl"/>
        </w:rPr>
        <w:t xml:space="preserve"> que 168 de las 176 Partes en el Protocolo de Montreal que han ratificado, aceptado o aprobado la Enmienda de Kigali al Protocolo han notificado el establecimiento y funcionamiento de sistemas de concesión de licencias para la importación y exportación de las sustancias controladas incluidas en el anexo F, como se exige, y que 2 Partes que aún no han ratificado la Enmienda de Kigali han comunicado también el establecimiento de un sistema de esa índole,</w:t>
      </w:r>
    </w:p>
    <w:p w14:paraId="421429DD" w14:textId="11D8EEB4" w:rsidR="004E05EB" w:rsidRPr="00B84488" w:rsidRDefault="00A01AD1" w:rsidP="002F48CE">
      <w:pPr>
        <w:pStyle w:val="Normal-pool"/>
        <w:spacing w:after="120"/>
        <w:ind w:left="1168" w:firstLine="629"/>
        <w:rPr>
          <w:lang w:val="es-ES_tradnl"/>
        </w:rPr>
      </w:pPr>
      <w:r w:rsidRPr="00B84488">
        <w:rPr>
          <w:i/>
          <w:iCs/>
          <w:spacing w:val="-2"/>
          <w:lang w:val="es-ES_tradnl"/>
        </w:rPr>
        <w:t>Observando</w:t>
      </w:r>
      <w:r w:rsidRPr="00B84488">
        <w:rPr>
          <w:spacing w:val="-2"/>
          <w:lang w:val="es-ES_tradnl"/>
        </w:rPr>
        <w:t xml:space="preserve">, sin embargo, que Azerbaiyán, </w:t>
      </w:r>
      <w:proofErr w:type="spellStart"/>
      <w:r w:rsidRPr="00B84488">
        <w:rPr>
          <w:spacing w:val="-2"/>
          <w:lang w:val="es-ES_tradnl"/>
        </w:rPr>
        <w:t>Djibouti</w:t>
      </w:r>
      <w:proofErr w:type="spellEnd"/>
      <w:r w:rsidRPr="00B84488">
        <w:rPr>
          <w:spacing w:val="-2"/>
          <w:lang w:val="es-ES_tradnl"/>
        </w:rPr>
        <w:t>, La República Centroafricana y San Marino no comunicaron a la Secretaría del Ozono antes del 30 de octubre de 2026 el establecimiento y el funcionamiento de sus sistemas de concesión de licencias de conformidad con el artículo 4B, párrafo 3</w:t>
      </w:r>
      <w:r w:rsidRPr="00B84488">
        <w:rPr>
          <w:lang w:val="es-ES_tradnl"/>
        </w:rPr>
        <w:t>,</w:t>
      </w:r>
    </w:p>
    <w:p w14:paraId="390AA9CF" w14:textId="638D4A36" w:rsidR="004E05EB" w:rsidRPr="00B84488" w:rsidRDefault="002C02BA" w:rsidP="002F48CE">
      <w:pPr>
        <w:pStyle w:val="Normal-pool"/>
        <w:spacing w:after="120"/>
        <w:ind w:left="1168" w:firstLine="629"/>
        <w:rPr>
          <w:lang w:val="es-ES_tradnl"/>
        </w:rPr>
      </w:pPr>
      <w:r w:rsidRPr="00B84488">
        <w:rPr>
          <w:i/>
          <w:iCs/>
          <w:lang w:val="es-ES_tradnl"/>
        </w:rPr>
        <w:t>Observando con preocupación</w:t>
      </w:r>
      <w:r w:rsidRPr="00B84488">
        <w:rPr>
          <w:lang w:val="es-ES_tradnl"/>
        </w:rPr>
        <w:t xml:space="preserve"> que, en el caso de San Marino, el plazo para presentar la información sobre el establecimiento y el funcionamiento de su sistema de concesión de licencias vencía el 18 de julio de 2021,</w:t>
      </w:r>
    </w:p>
    <w:p w14:paraId="3DC04167" w14:textId="30CE5371" w:rsidR="004E05EB" w:rsidRPr="00B84488" w:rsidRDefault="00A01AD1" w:rsidP="002F48CE">
      <w:pPr>
        <w:pStyle w:val="Normal-pool"/>
        <w:spacing w:after="120"/>
        <w:ind w:left="1168" w:firstLine="629"/>
        <w:rPr>
          <w:lang w:val="es-ES_tradnl"/>
        </w:rPr>
      </w:pPr>
      <w:r w:rsidRPr="00B84488">
        <w:rPr>
          <w:i/>
          <w:iCs/>
          <w:lang w:val="es-ES_tradnl"/>
        </w:rPr>
        <w:lastRenderedPageBreak/>
        <w:t xml:space="preserve">Reconociendo </w:t>
      </w:r>
      <w:r w:rsidRPr="00B84488">
        <w:rPr>
          <w:lang w:val="es-ES_tradnl"/>
        </w:rPr>
        <w:t>que los sistemas de concesión de licencias permiten recopilar datos y verificarlos, vigilar las importaciones y exportaciones de sustancias controladas y prevenir el comercio</w:t>
      </w:r>
      <w:r w:rsidR="00D334DD" w:rsidRPr="00B84488">
        <w:rPr>
          <w:lang w:val="es-ES_tradnl"/>
        </w:rPr>
        <w:t> </w:t>
      </w:r>
      <w:r w:rsidRPr="00B84488">
        <w:rPr>
          <w:lang w:val="es-ES_tradnl"/>
        </w:rPr>
        <w:t>ilícito,</w:t>
      </w:r>
    </w:p>
    <w:p w14:paraId="350D44AF" w14:textId="702DEF92" w:rsidR="004C6941" w:rsidRPr="00B84488" w:rsidRDefault="00A01AD1" w:rsidP="002F48CE">
      <w:pPr>
        <w:pStyle w:val="Normal-pool"/>
        <w:spacing w:after="120"/>
        <w:ind w:left="1168" w:firstLine="629"/>
        <w:rPr>
          <w:lang w:val="es-ES_tradnl"/>
        </w:rPr>
      </w:pPr>
      <w:r w:rsidRPr="00B84488">
        <w:rPr>
          <w:i/>
          <w:iCs/>
          <w:lang w:val="es-ES_tradnl"/>
        </w:rPr>
        <w:t xml:space="preserve">Reconociendo también </w:t>
      </w:r>
      <w:r w:rsidRPr="00B84488">
        <w:rPr>
          <w:lang w:val="es-ES_tradnl"/>
        </w:rPr>
        <w:t>que el éxito de la eliminación por las Partes de la mayoría de las sustancias controladas se debe en gran medida al establecimiento y puesta en práctica de sistemas de concesión de licencias para controlar la importación y exportación de sustancias que agotan la capa de</w:t>
      </w:r>
      <w:r w:rsidR="00D334DD" w:rsidRPr="00B84488">
        <w:rPr>
          <w:lang w:val="es-ES_tradnl"/>
        </w:rPr>
        <w:t> </w:t>
      </w:r>
      <w:r w:rsidRPr="00B84488">
        <w:rPr>
          <w:lang w:val="es-ES_tradnl"/>
        </w:rPr>
        <w:t>ozono,</w:t>
      </w:r>
    </w:p>
    <w:p w14:paraId="5BD1D421" w14:textId="77777777" w:rsidR="00A01AD1" w:rsidRPr="00B84488" w:rsidRDefault="00A01AD1" w:rsidP="002F48CE">
      <w:pPr>
        <w:pStyle w:val="Normal-pool"/>
        <w:spacing w:after="120"/>
        <w:ind w:left="1168" w:firstLine="629"/>
        <w:rPr>
          <w:lang w:val="es-ES_tradnl"/>
        </w:rPr>
      </w:pPr>
      <w:r w:rsidRPr="00B84488">
        <w:rPr>
          <w:i/>
          <w:iCs/>
          <w:lang w:val="es-ES_tradnl"/>
        </w:rPr>
        <w:t>Decide:</w:t>
      </w:r>
    </w:p>
    <w:p w14:paraId="4039FC83" w14:textId="1043CAB1" w:rsidR="00E77E1A" w:rsidRPr="00B84488" w:rsidRDefault="00A01AD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Tomar nota con aprecio de la labor realizada por las Partes para el establecimiento y el funcionamiento de sistemas de concesión de licencias para las sustancias controladas incluidas en el anexo F con arreglo al artículo 4B, párrafo 2 bis, del Protocolo de Montreal relativo a las Sustancias que Agotan la Capa de Ozono;</w:t>
      </w:r>
    </w:p>
    <w:p w14:paraId="202C4AB1" w14:textId="1ED2B4BC" w:rsidR="00E77E1A" w:rsidRPr="00B84488" w:rsidRDefault="001F24C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 xml:space="preserve">Instar a las Partes en la Enmienda de Kigali al Protocolo de Montreal que no informaron sobre el establecimiento y funcionamiento de sistemas de concesión de licencias de conformidad con el artículo 4B, párrafo 2 bis, antes del 30 de octubre de 2026, a saber, Azerbaiyán, </w:t>
      </w:r>
      <w:proofErr w:type="spellStart"/>
      <w:r w:rsidRPr="00B84488">
        <w:rPr>
          <w:lang w:val="es-ES_tradnl"/>
        </w:rPr>
        <w:t>Djibouti</w:t>
      </w:r>
      <w:proofErr w:type="spellEnd"/>
      <w:r w:rsidRPr="00B84488">
        <w:rPr>
          <w:lang w:val="es-ES_tradnl"/>
        </w:rPr>
        <w:t>, la República Centroafricana y San Marino, a que proporcionen información a la Secretaría del Ozono sobre el establecimiento y funcionamiento de sus sistemas de concesión de licencias con urgencia, a más tardar el 31 de marzo de 2027, para su examen por el Comité de Aplicación establecido con arreglo al Procedimiento relativo al Incumplimiento del Protocolo de Montreal su</w:t>
      </w:r>
      <w:r w:rsidR="00D334DD" w:rsidRPr="00B84488">
        <w:rPr>
          <w:lang w:val="es-ES_tradnl"/>
        </w:rPr>
        <w:t> </w:t>
      </w:r>
      <w:r w:rsidRPr="00B84488">
        <w:rPr>
          <w:lang w:val="es-ES_tradnl"/>
        </w:rPr>
        <w:t>78ª</w:t>
      </w:r>
      <w:r w:rsidR="00D334DD" w:rsidRPr="00B84488">
        <w:rPr>
          <w:lang w:val="es-ES_tradnl"/>
        </w:rPr>
        <w:t> </w:t>
      </w:r>
      <w:r w:rsidRPr="00B84488">
        <w:rPr>
          <w:lang w:val="es-ES_tradnl"/>
        </w:rPr>
        <w:t>reunión;</w:t>
      </w:r>
    </w:p>
    <w:p w14:paraId="6A21FB70" w14:textId="174E3E3E" w:rsidR="001F24C1" w:rsidRPr="00B84488" w:rsidRDefault="001F24C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 xml:space="preserve">Advertir a San Marino, de que, conforme al punto B de la lista indicativa de medidas que puede adoptar la Reunión de las Partes con respecto al incumplimiento, en caso de que no informe sobre el establecimiento y el funcionamiento de su sistema de concesión de licencias, las Partes estudiarán la posibilidad de adoptar medidas con arreglo al punto C de esa lista, a saber, la suspensión —de conformidad con las normas de derecho internacional aplicables a la suspensión de la aplicación de un tratado— de determinados derechos y privilegios previstos en el Protocolo de Montreal, con o sin límite de tiempo, en particular los relacionados con la racionalización industrial, la producción, el consumo, el comercio, la transferencia de tecnología, el mecanismo financiero y los acuerdos institucionales; </w:t>
      </w:r>
    </w:p>
    <w:p w14:paraId="4AE844C0" w14:textId="574AD1E8" w:rsidR="00A01AD1" w:rsidRPr="00B84488" w:rsidRDefault="00A01AD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Instar a todas las Partes en el Protocolo de Montreal</w:t>
      </w:r>
      <w:r w:rsidR="00DF295B" w:rsidRPr="00B84488">
        <w:rPr>
          <w:lang w:val="es-ES_tradnl"/>
        </w:rPr>
        <w:t xml:space="preserve"> </w:t>
      </w:r>
      <w:r w:rsidRPr="00B84488">
        <w:rPr>
          <w:lang w:val="es-ES_tradnl"/>
        </w:rPr>
        <w:t>que ratifiquen, acepten o aprueben la Enmienda de Kigali a que establezcan y apliquen sus sistemas de concesión de licencias de importación y exportación de sustancias controladas con arreglo al anexo F del Protocolo en un plazo de 3 meses a partir de la fecha de entrada en vigor de la Enmienda de Kigali para cada Parte, y a que informen a la Secretaría sobre el establecimiento y funcionamiento de tales sistemas de concesión de licencias en un plazo de 3 meses a partir de la fecha de implantación del sistema;</w:t>
      </w:r>
      <w:r w:rsidRPr="00B84488">
        <w:rPr>
          <w:lang w:val="es-ES_tradnl"/>
        </w:rPr>
        <w:tab/>
      </w:r>
    </w:p>
    <w:p w14:paraId="58EFE517" w14:textId="6C639E4D" w:rsidR="00C8658B" w:rsidRPr="00B84488" w:rsidRDefault="00A01AD1" w:rsidP="00385346">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B84488">
        <w:rPr>
          <w:lang w:val="es-ES_tradnl"/>
        </w:rPr>
        <w:t>Solicitar a la Secretaría que prepare y distribuya periódicamente a todas las Partes una lista de las Partes que le hayan informado de su sistema de concesión de licencias, y que remita esa información al Comité de Aplicación para su examen y con vistas a permitir que este formule las recomendaciones pertinentes a las Partes, de conformidad con el artículo 4B, párrafo 4 del Protocolo de Montreal.</w:t>
      </w:r>
    </w:p>
    <w:p w14:paraId="447C1A52" w14:textId="72AECF70" w:rsidR="00C8658B" w:rsidRPr="00B84488" w:rsidRDefault="00385346" w:rsidP="00385346">
      <w:pPr>
        <w:pStyle w:val="CH1"/>
        <w:rPr>
          <w:lang w:val="es-ES_tradnl"/>
        </w:rPr>
      </w:pPr>
      <w:r w:rsidRPr="00B84488">
        <w:rPr>
          <w:lang w:val="es-ES_tradnl"/>
        </w:rPr>
        <w:tab/>
      </w:r>
      <w:r w:rsidRPr="00B84488">
        <w:rPr>
          <w:lang w:val="es-ES_tradnl"/>
        </w:rPr>
        <w:tab/>
      </w:r>
      <w:r w:rsidRPr="00B84488">
        <w:rPr>
          <w:bCs/>
          <w:lang w:val="es-ES_tradnl"/>
        </w:rPr>
        <w:t>Proyecto de decisión XXXVIII/[--]: solicitudes de modificación de los datos de referencia formuladas por Belice y Sudáfrica</w:t>
      </w:r>
      <w:r w:rsidRPr="00B84488">
        <w:rPr>
          <w:lang w:val="es-ES_tradnl"/>
        </w:rPr>
        <w:t xml:space="preserve"> </w:t>
      </w:r>
      <w:bookmarkStart w:id="0" w:name="_Hlk212981327"/>
    </w:p>
    <w:bookmarkEnd w:id="0"/>
    <w:p w14:paraId="680AA7E9" w14:textId="319F1565" w:rsidR="00C8658B" w:rsidRPr="00B84488" w:rsidRDefault="00C8658B" w:rsidP="00B57AED">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B84488">
        <w:rPr>
          <w:i/>
          <w:iCs/>
          <w:lang w:val="es-ES_tradnl"/>
        </w:rPr>
        <w:t>La 38ª Reunión de las Partes,</w:t>
      </w:r>
    </w:p>
    <w:p w14:paraId="7BD8739A" w14:textId="19F4E325" w:rsidR="00C8658B" w:rsidRPr="00B84488" w:rsidRDefault="00C8658B" w:rsidP="00B57AED">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B84488">
        <w:rPr>
          <w:i/>
          <w:iCs/>
          <w:lang w:val="es-ES_tradnl"/>
        </w:rPr>
        <w:t xml:space="preserve">Observando </w:t>
      </w:r>
      <w:r w:rsidRPr="00B84488">
        <w:rPr>
          <w:lang w:val="es-ES_tradnl"/>
        </w:rPr>
        <w:t>que, en la decisión XIII/15, la 13ª Reunión de las Partes en el Protocolo de Montreal relativo a las Sustancias que Agotan la Capa de Ozono decidió comunicar a las Partes que</w:t>
      </w:r>
      <w:r w:rsidR="00D334DD" w:rsidRPr="00B84488">
        <w:rPr>
          <w:lang w:val="es-ES_tradnl"/>
        </w:rPr>
        <w:t> </w:t>
      </w:r>
      <w:r w:rsidRPr="00B84488">
        <w:rPr>
          <w:lang w:val="es-ES_tradnl"/>
        </w:rPr>
        <w:t>solicitasen modificaciones en los datos de referencia presentados para los años de base que presentasen sus solicitudes al Comité de Aplicación establecido con arreglo al Procedimiento relativo al Incumplimiento del Protocolo de Montreal, que a su vez trabajaría con la Secretaría del Protocolo de Montreal y el Comité Ejecutivo del Fondo Multilateral para la Aplicación del Protocolo de Montreal, para confirmar la justificación de las modificaciones y presentarlas a la Reunión de las Partes para su aprobación,</w:t>
      </w:r>
    </w:p>
    <w:p w14:paraId="39D7D29B" w14:textId="507FC198" w:rsidR="00C8658B" w:rsidRPr="00B84488" w:rsidRDefault="00C8658B" w:rsidP="00B57AED">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B84488">
        <w:rPr>
          <w:i/>
          <w:iCs/>
          <w:lang w:val="es-ES_tradnl"/>
        </w:rPr>
        <w:t>Observando también</w:t>
      </w:r>
      <w:r w:rsidRPr="00B84488">
        <w:rPr>
          <w:lang w:val="es-ES_tradnl"/>
        </w:rPr>
        <w:t xml:space="preserve"> que en la decisión XV/19 se establece la metodología que ha de utilizarse para cursar esas solicitudes,</w:t>
      </w:r>
    </w:p>
    <w:p w14:paraId="32AD89D8" w14:textId="77777777" w:rsidR="00D334DD" w:rsidRPr="00B84488" w:rsidRDefault="00D334DD">
      <w:pPr>
        <w:tabs>
          <w:tab w:val="clear" w:pos="1247"/>
          <w:tab w:val="clear" w:pos="1814"/>
          <w:tab w:val="clear" w:pos="2381"/>
          <w:tab w:val="clear" w:pos="2948"/>
          <w:tab w:val="clear" w:pos="3515"/>
        </w:tabs>
        <w:rPr>
          <w:i/>
          <w:iCs/>
          <w:lang w:val="es-ES_tradnl"/>
        </w:rPr>
      </w:pPr>
      <w:r w:rsidRPr="00B84488">
        <w:rPr>
          <w:i/>
          <w:iCs/>
          <w:lang w:val="es-ES_tradnl"/>
        </w:rPr>
        <w:br w:type="page"/>
      </w:r>
    </w:p>
    <w:p w14:paraId="27B7614C" w14:textId="62BAC893" w:rsidR="00C8658B" w:rsidRPr="00B84488" w:rsidRDefault="00C8658B" w:rsidP="00B57AED">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B84488">
        <w:rPr>
          <w:i/>
          <w:iCs/>
          <w:lang w:val="es-ES_tradnl"/>
        </w:rPr>
        <w:lastRenderedPageBreak/>
        <w:t>Decide:</w:t>
      </w:r>
    </w:p>
    <w:p w14:paraId="411C640C" w14:textId="1E000745" w:rsidR="00C8658B" w:rsidRPr="00B84488" w:rsidRDefault="00C8658B" w:rsidP="00B57AED">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s-ES_tradnl"/>
        </w:rPr>
      </w:pPr>
      <w:bookmarkStart w:id="1" w:name="_Hlk211330762"/>
      <w:r w:rsidRPr="00B84488">
        <w:rPr>
          <w:lang w:val="es-ES_tradnl"/>
        </w:rPr>
        <w:t>Que Belice ha aportado información suficiente, de conformidad con la decisión XV/19, para justificar su solicitud de modificación de sus datos sobre consumo de hidrofluorocarbonos correspondientes a 2020, 2021 y 2022, que forman parte del nivel de referencia para las Partes que</w:t>
      </w:r>
      <w:r w:rsidR="00D334DD" w:rsidRPr="00B84488">
        <w:rPr>
          <w:lang w:val="es-ES_tradnl"/>
        </w:rPr>
        <w:t> </w:t>
      </w:r>
      <w:r w:rsidRPr="00B84488">
        <w:rPr>
          <w:lang w:val="es-ES_tradnl"/>
        </w:rPr>
        <w:t>operan al amparo del artículo 5 incluidas en el grupo 1 en virtud de la Enmienda de Kigali al Protocolo</w:t>
      </w:r>
      <w:r w:rsidR="00D334DD" w:rsidRPr="00B84488">
        <w:rPr>
          <w:lang w:val="es-ES_tradnl"/>
        </w:rPr>
        <w:t> </w:t>
      </w:r>
      <w:r w:rsidRPr="00B84488">
        <w:rPr>
          <w:lang w:val="es-ES_tradnl"/>
        </w:rPr>
        <w:t>de Montreal;</w:t>
      </w:r>
    </w:p>
    <w:p w14:paraId="65BD2D33" w14:textId="4BF237F3" w:rsidR="00715570" w:rsidRPr="00B84488" w:rsidRDefault="00C8658B" w:rsidP="00715570">
      <w:pPr>
        <w:pStyle w:val="NormalNonumber"/>
        <w:numPr>
          <w:ilvl w:val="0"/>
          <w:numId w:val="20"/>
        </w:numPr>
        <w:ind w:left="1247" w:firstLine="624"/>
        <w:rPr>
          <w:lang w:val="es-ES_tradnl"/>
        </w:rPr>
      </w:pPr>
      <w:r w:rsidRPr="00B84488">
        <w:rPr>
          <w:lang w:val="es-ES_tradnl"/>
        </w:rPr>
        <w:t>Aprobar la solicitud de Belice y modificar sus datos sobre el consumo de hidrofluorocarbonos en los años de referencia 2020, 2021 y 2022, según lo indicado en el cuadro siguiente:</w:t>
      </w:r>
    </w:p>
    <w:tbl>
      <w:tblPr>
        <w:tblStyle w:val="TableGrid"/>
        <w:tblW w:w="83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8"/>
        <w:gridCol w:w="1199"/>
        <w:gridCol w:w="1199"/>
        <w:gridCol w:w="1199"/>
        <w:gridCol w:w="1198"/>
        <w:gridCol w:w="1198"/>
        <w:gridCol w:w="1199"/>
      </w:tblGrid>
      <w:tr w:rsidR="00715570" w:rsidRPr="00B84488" w14:paraId="75A5A3B2" w14:textId="77777777" w:rsidTr="00B57AED">
        <w:trPr>
          <w:jc w:val="right"/>
        </w:trPr>
        <w:tc>
          <w:tcPr>
            <w:tcW w:w="1117" w:type="dxa"/>
            <w:vMerge w:val="restart"/>
            <w:tcBorders>
              <w:top w:val="single" w:sz="4" w:space="0" w:color="auto"/>
              <w:bottom w:val="single" w:sz="12" w:space="0" w:color="auto"/>
            </w:tcBorders>
            <w:vAlign w:val="bottom"/>
            <w:hideMark/>
          </w:tcPr>
          <w:p w14:paraId="257BDE7D" w14:textId="77777777" w:rsidR="00715570" w:rsidRPr="00B84488" w:rsidRDefault="00715570">
            <w:pPr>
              <w:pStyle w:val="Normal-pool-Table"/>
              <w:rPr>
                <w:i/>
                <w:iCs/>
                <w:lang w:val="es-ES_tradnl"/>
              </w:rPr>
            </w:pPr>
            <w:r w:rsidRPr="00B84488">
              <w:rPr>
                <w:i/>
                <w:iCs/>
                <w:color w:val="000000"/>
                <w:lang w:val="es-ES_tradnl"/>
              </w:rPr>
              <w:t>Parte/año</w:t>
            </w:r>
          </w:p>
        </w:tc>
        <w:tc>
          <w:tcPr>
            <w:tcW w:w="3595" w:type="dxa"/>
            <w:gridSpan w:val="3"/>
            <w:tcBorders>
              <w:top w:val="single" w:sz="4" w:space="0" w:color="auto"/>
              <w:bottom w:val="single" w:sz="4" w:space="0" w:color="auto"/>
            </w:tcBorders>
            <w:vAlign w:val="bottom"/>
            <w:hideMark/>
          </w:tcPr>
          <w:p w14:paraId="1C131689" w14:textId="0223A2A9" w:rsidR="00715570" w:rsidRPr="00B84488" w:rsidRDefault="00715570">
            <w:pPr>
              <w:pStyle w:val="Normal-pool-Table"/>
              <w:jc w:val="center"/>
              <w:rPr>
                <w:i/>
                <w:iCs/>
                <w:lang w:val="es-ES_tradnl"/>
              </w:rPr>
            </w:pPr>
            <w:r w:rsidRPr="00B84488">
              <w:rPr>
                <w:i/>
                <w:iCs/>
                <w:color w:val="000000"/>
                <w:lang w:val="es-ES_tradnl"/>
              </w:rPr>
              <w:t xml:space="preserve">Datos anteriores sobre HFC </w:t>
            </w:r>
            <w:r w:rsidR="00D334DD" w:rsidRPr="00B84488">
              <w:rPr>
                <w:i/>
                <w:iCs/>
                <w:color w:val="000000"/>
                <w:lang w:val="es-ES_tradnl"/>
              </w:rPr>
              <w:br/>
            </w:r>
            <w:r w:rsidRPr="00B84488">
              <w:rPr>
                <w:i/>
                <w:iCs/>
                <w:color w:val="000000"/>
                <w:lang w:val="es-ES_tradnl"/>
              </w:rPr>
              <w:t xml:space="preserve">(toneladas de CO₂ </w:t>
            </w:r>
            <w:proofErr w:type="spellStart"/>
            <w:r w:rsidRPr="00B84488">
              <w:rPr>
                <w:i/>
                <w:iCs/>
                <w:color w:val="000000"/>
                <w:lang w:val="es-ES_tradnl"/>
              </w:rPr>
              <w:t>eq</w:t>
            </w:r>
            <w:proofErr w:type="spellEnd"/>
            <w:r w:rsidRPr="00B84488">
              <w:rPr>
                <w:i/>
                <w:iCs/>
                <w:color w:val="000000"/>
                <w:lang w:val="es-ES_tradnl"/>
              </w:rPr>
              <w:t>)</w:t>
            </w:r>
          </w:p>
        </w:tc>
        <w:tc>
          <w:tcPr>
            <w:tcW w:w="3595" w:type="dxa"/>
            <w:gridSpan w:val="3"/>
            <w:tcBorders>
              <w:top w:val="single" w:sz="4" w:space="0" w:color="auto"/>
              <w:bottom w:val="single" w:sz="4" w:space="0" w:color="auto"/>
            </w:tcBorders>
            <w:vAlign w:val="bottom"/>
            <w:hideMark/>
          </w:tcPr>
          <w:p w14:paraId="2354574B" w14:textId="2C23D08A" w:rsidR="00715570" w:rsidRPr="00B84488" w:rsidRDefault="00715570">
            <w:pPr>
              <w:pStyle w:val="Normal-pool-Table"/>
              <w:jc w:val="center"/>
              <w:rPr>
                <w:i/>
                <w:iCs/>
                <w:lang w:val="es-ES_tradnl"/>
              </w:rPr>
            </w:pPr>
            <w:r w:rsidRPr="00B84488">
              <w:rPr>
                <w:i/>
                <w:iCs/>
                <w:color w:val="000000"/>
                <w:lang w:val="es-ES_tradnl"/>
              </w:rPr>
              <w:t xml:space="preserve">Nuevos datos sobre HFC </w:t>
            </w:r>
            <w:r w:rsidR="00D334DD" w:rsidRPr="00B84488">
              <w:rPr>
                <w:i/>
                <w:iCs/>
                <w:color w:val="000000"/>
                <w:lang w:val="es-ES_tradnl"/>
              </w:rPr>
              <w:br/>
            </w:r>
            <w:r w:rsidRPr="00B84488">
              <w:rPr>
                <w:i/>
                <w:iCs/>
                <w:color w:val="000000"/>
                <w:lang w:val="es-ES_tradnl"/>
              </w:rPr>
              <w:t xml:space="preserve">(toneladas de CO₂ </w:t>
            </w:r>
            <w:proofErr w:type="spellStart"/>
            <w:r w:rsidRPr="00B84488">
              <w:rPr>
                <w:i/>
                <w:iCs/>
                <w:color w:val="000000"/>
                <w:lang w:val="es-ES_tradnl"/>
              </w:rPr>
              <w:t>eq</w:t>
            </w:r>
            <w:proofErr w:type="spellEnd"/>
            <w:r w:rsidRPr="00B84488">
              <w:rPr>
                <w:i/>
                <w:iCs/>
                <w:color w:val="000000"/>
                <w:lang w:val="es-ES_tradnl"/>
              </w:rPr>
              <w:t>)</w:t>
            </w:r>
          </w:p>
        </w:tc>
      </w:tr>
      <w:tr w:rsidR="00715570" w:rsidRPr="00B84488" w14:paraId="4CA45EB3" w14:textId="77777777" w:rsidTr="00B57AED">
        <w:trPr>
          <w:jc w:val="right"/>
        </w:trPr>
        <w:tc>
          <w:tcPr>
            <w:tcW w:w="1117" w:type="dxa"/>
            <w:vMerge/>
            <w:tcBorders>
              <w:top w:val="single" w:sz="4" w:space="0" w:color="auto"/>
              <w:bottom w:val="single" w:sz="12" w:space="0" w:color="auto"/>
            </w:tcBorders>
            <w:vAlign w:val="center"/>
            <w:hideMark/>
          </w:tcPr>
          <w:p w14:paraId="6E85E07E" w14:textId="77777777" w:rsidR="00715570" w:rsidRPr="00B84488" w:rsidRDefault="00715570">
            <w:pPr>
              <w:tabs>
                <w:tab w:val="clear" w:pos="1247"/>
                <w:tab w:val="clear" w:pos="1814"/>
                <w:tab w:val="clear" w:pos="2381"/>
                <w:tab w:val="clear" w:pos="2948"/>
                <w:tab w:val="clear" w:pos="3515"/>
              </w:tabs>
              <w:rPr>
                <w:i/>
                <w:iCs/>
                <w:sz w:val="18"/>
                <w:lang w:val="es-ES_tradnl"/>
              </w:rPr>
            </w:pPr>
          </w:p>
        </w:tc>
        <w:tc>
          <w:tcPr>
            <w:tcW w:w="1198" w:type="dxa"/>
            <w:tcBorders>
              <w:top w:val="single" w:sz="4" w:space="0" w:color="auto"/>
              <w:bottom w:val="single" w:sz="12" w:space="0" w:color="auto"/>
            </w:tcBorders>
            <w:vAlign w:val="bottom"/>
            <w:hideMark/>
          </w:tcPr>
          <w:p w14:paraId="2102334B" w14:textId="77777777" w:rsidR="00715570" w:rsidRPr="00B84488" w:rsidRDefault="00715570">
            <w:pPr>
              <w:pStyle w:val="Normal-pool-Table"/>
              <w:jc w:val="right"/>
              <w:rPr>
                <w:i/>
                <w:iCs/>
                <w:lang w:val="es-ES_tradnl"/>
              </w:rPr>
            </w:pPr>
            <w:r w:rsidRPr="00B84488">
              <w:rPr>
                <w:i/>
                <w:iCs/>
                <w:color w:val="000000"/>
                <w:lang w:val="es-ES_tradnl"/>
              </w:rPr>
              <w:t>2020</w:t>
            </w:r>
          </w:p>
        </w:tc>
        <w:tc>
          <w:tcPr>
            <w:tcW w:w="1198" w:type="dxa"/>
            <w:tcBorders>
              <w:top w:val="single" w:sz="4" w:space="0" w:color="auto"/>
              <w:bottom w:val="single" w:sz="12" w:space="0" w:color="auto"/>
            </w:tcBorders>
            <w:vAlign w:val="bottom"/>
            <w:hideMark/>
          </w:tcPr>
          <w:p w14:paraId="6C767EEA" w14:textId="77777777" w:rsidR="00715570" w:rsidRPr="00B84488" w:rsidRDefault="00715570">
            <w:pPr>
              <w:pStyle w:val="Normal-pool-Table"/>
              <w:jc w:val="right"/>
              <w:rPr>
                <w:i/>
                <w:iCs/>
                <w:lang w:val="es-ES_tradnl"/>
              </w:rPr>
            </w:pPr>
            <w:r w:rsidRPr="00B84488">
              <w:rPr>
                <w:i/>
                <w:iCs/>
                <w:color w:val="000000"/>
                <w:lang w:val="es-ES_tradnl"/>
              </w:rPr>
              <w:t>2021</w:t>
            </w:r>
          </w:p>
        </w:tc>
        <w:tc>
          <w:tcPr>
            <w:tcW w:w="1199" w:type="dxa"/>
            <w:tcBorders>
              <w:top w:val="single" w:sz="4" w:space="0" w:color="auto"/>
              <w:bottom w:val="single" w:sz="12" w:space="0" w:color="auto"/>
            </w:tcBorders>
            <w:vAlign w:val="bottom"/>
            <w:hideMark/>
          </w:tcPr>
          <w:p w14:paraId="18EFB977" w14:textId="77777777" w:rsidR="00715570" w:rsidRPr="00B84488" w:rsidRDefault="00715570">
            <w:pPr>
              <w:pStyle w:val="Normal-pool-Table"/>
              <w:jc w:val="right"/>
              <w:rPr>
                <w:i/>
                <w:iCs/>
                <w:lang w:val="es-ES_tradnl"/>
              </w:rPr>
            </w:pPr>
            <w:r w:rsidRPr="00B84488">
              <w:rPr>
                <w:i/>
                <w:iCs/>
                <w:color w:val="000000"/>
                <w:lang w:val="es-ES_tradnl"/>
              </w:rPr>
              <w:t>2022</w:t>
            </w:r>
          </w:p>
        </w:tc>
        <w:tc>
          <w:tcPr>
            <w:tcW w:w="1198" w:type="dxa"/>
            <w:tcBorders>
              <w:top w:val="single" w:sz="4" w:space="0" w:color="auto"/>
              <w:bottom w:val="single" w:sz="12" w:space="0" w:color="auto"/>
            </w:tcBorders>
            <w:vAlign w:val="bottom"/>
            <w:hideMark/>
          </w:tcPr>
          <w:p w14:paraId="3FAAD7C8" w14:textId="77777777" w:rsidR="00715570" w:rsidRPr="00B84488" w:rsidRDefault="00715570">
            <w:pPr>
              <w:pStyle w:val="Normal-pool-Table"/>
              <w:jc w:val="right"/>
              <w:rPr>
                <w:i/>
                <w:iCs/>
                <w:lang w:val="es-ES_tradnl"/>
              </w:rPr>
            </w:pPr>
            <w:r w:rsidRPr="00B84488">
              <w:rPr>
                <w:i/>
                <w:iCs/>
                <w:color w:val="000000"/>
                <w:lang w:val="es-ES_tradnl"/>
              </w:rPr>
              <w:t>2020</w:t>
            </w:r>
          </w:p>
        </w:tc>
        <w:tc>
          <w:tcPr>
            <w:tcW w:w="1198" w:type="dxa"/>
            <w:tcBorders>
              <w:top w:val="single" w:sz="4" w:space="0" w:color="auto"/>
              <w:bottom w:val="single" w:sz="12" w:space="0" w:color="auto"/>
            </w:tcBorders>
            <w:vAlign w:val="bottom"/>
            <w:hideMark/>
          </w:tcPr>
          <w:p w14:paraId="1824ED6C" w14:textId="77777777" w:rsidR="00715570" w:rsidRPr="00B84488" w:rsidRDefault="00715570">
            <w:pPr>
              <w:pStyle w:val="Normal-pool-Table"/>
              <w:jc w:val="right"/>
              <w:rPr>
                <w:i/>
                <w:iCs/>
                <w:lang w:val="es-ES_tradnl"/>
              </w:rPr>
            </w:pPr>
            <w:r w:rsidRPr="00B84488">
              <w:rPr>
                <w:i/>
                <w:iCs/>
                <w:color w:val="000000"/>
                <w:lang w:val="es-ES_tradnl"/>
              </w:rPr>
              <w:t>2021</w:t>
            </w:r>
          </w:p>
        </w:tc>
        <w:tc>
          <w:tcPr>
            <w:tcW w:w="1199" w:type="dxa"/>
            <w:tcBorders>
              <w:top w:val="single" w:sz="4" w:space="0" w:color="auto"/>
              <w:bottom w:val="single" w:sz="12" w:space="0" w:color="auto"/>
            </w:tcBorders>
            <w:vAlign w:val="bottom"/>
            <w:hideMark/>
          </w:tcPr>
          <w:p w14:paraId="5BB512F0" w14:textId="77777777" w:rsidR="00715570" w:rsidRPr="00B84488" w:rsidRDefault="00715570">
            <w:pPr>
              <w:pStyle w:val="Normal-pool-Table"/>
              <w:jc w:val="right"/>
              <w:rPr>
                <w:i/>
                <w:iCs/>
                <w:lang w:val="es-ES_tradnl"/>
              </w:rPr>
            </w:pPr>
            <w:r w:rsidRPr="00B84488">
              <w:rPr>
                <w:i/>
                <w:iCs/>
                <w:color w:val="000000"/>
                <w:lang w:val="es-ES_tradnl"/>
              </w:rPr>
              <w:t>2022</w:t>
            </w:r>
          </w:p>
        </w:tc>
      </w:tr>
      <w:tr w:rsidR="00715570" w:rsidRPr="00B84488" w14:paraId="6AF1162B" w14:textId="77777777" w:rsidTr="00B57AED">
        <w:trPr>
          <w:jc w:val="right"/>
        </w:trPr>
        <w:tc>
          <w:tcPr>
            <w:tcW w:w="1117" w:type="dxa"/>
            <w:tcBorders>
              <w:top w:val="single" w:sz="12" w:space="0" w:color="auto"/>
              <w:bottom w:val="single" w:sz="12" w:space="0" w:color="auto"/>
            </w:tcBorders>
            <w:hideMark/>
          </w:tcPr>
          <w:p w14:paraId="58D1C6E0" w14:textId="77777777" w:rsidR="00715570" w:rsidRPr="00B84488" w:rsidRDefault="00715570">
            <w:pPr>
              <w:pStyle w:val="Normal-pool-Table"/>
              <w:rPr>
                <w:szCs w:val="18"/>
                <w:lang w:val="es-ES_tradnl"/>
              </w:rPr>
            </w:pPr>
            <w:r w:rsidRPr="00B84488">
              <w:rPr>
                <w:color w:val="000000"/>
                <w:lang w:val="es-ES_tradnl"/>
              </w:rPr>
              <w:t xml:space="preserve">Belice </w:t>
            </w:r>
          </w:p>
        </w:tc>
        <w:tc>
          <w:tcPr>
            <w:tcW w:w="1198" w:type="dxa"/>
            <w:tcBorders>
              <w:top w:val="single" w:sz="12" w:space="0" w:color="auto"/>
              <w:bottom w:val="single" w:sz="12" w:space="0" w:color="auto"/>
            </w:tcBorders>
            <w:hideMark/>
          </w:tcPr>
          <w:p w14:paraId="02C77504" w14:textId="77777777" w:rsidR="00715570" w:rsidRPr="00B84488" w:rsidRDefault="00715570">
            <w:pPr>
              <w:pStyle w:val="Normal-pool-Table"/>
              <w:jc w:val="right"/>
              <w:rPr>
                <w:bCs/>
                <w:lang w:val="es-ES_tradnl"/>
              </w:rPr>
            </w:pPr>
            <w:r w:rsidRPr="00B84488">
              <w:rPr>
                <w:color w:val="000000"/>
                <w:szCs w:val="18"/>
                <w:lang w:val="es-ES_tradnl"/>
              </w:rPr>
              <w:t>73 601</w:t>
            </w:r>
          </w:p>
        </w:tc>
        <w:tc>
          <w:tcPr>
            <w:tcW w:w="1198" w:type="dxa"/>
            <w:tcBorders>
              <w:top w:val="single" w:sz="12" w:space="0" w:color="auto"/>
              <w:bottom w:val="single" w:sz="12" w:space="0" w:color="auto"/>
            </w:tcBorders>
            <w:hideMark/>
          </w:tcPr>
          <w:p w14:paraId="38E0D4AC" w14:textId="77777777" w:rsidR="00715570" w:rsidRPr="00B84488" w:rsidRDefault="00715570">
            <w:pPr>
              <w:pStyle w:val="Normal-pool-Table"/>
              <w:jc w:val="right"/>
              <w:rPr>
                <w:bCs/>
                <w:lang w:val="es-ES_tradnl"/>
              </w:rPr>
            </w:pPr>
            <w:r w:rsidRPr="00B84488">
              <w:rPr>
                <w:color w:val="000000"/>
                <w:lang w:val="es-ES_tradnl"/>
              </w:rPr>
              <w:t>1 137 903</w:t>
            </w:r>
          </w:p>
        </w:tc>
        <w:tc>
          <w:tcPr>
            <w:tcW w:w="1199" w:type="dxa"/>
            <w:tcBorders>
              <w:top w:val="single" w:sz="12" w:space="0" w:color="auto"/>
              <w:bottom w:val="single" w:sz="12" w:space="0" w:color="auto"/>
            </w:tcBorders>
            <w:hideMark/>
          </w:tcPr>
          <w:p w14:paraId="244BA97F" w14:textId="77777777" w:rsidR="00715570" w:rsidRPr="00B84488" w:rsidRDefault="00715570">
            <w:pPr>
              <w:pStyle w:val="Normal-pool-Table"/>
              <w:jc w:val="right"/>
              <w:rPr>
                <w:bCs/>
                <w:lang w:val="es-ES_tradnl"/>
              </w:rPr>
            </w:pPr>
            <w:r w:rsidRPr="00B84488">
              <w:rPr>
                <w:color w:val="000000"/>
                <w:lang w:val="es-ES_tradnl"/>
              </w:rPr>
              <w:t>121 648</w:t>
            </w:r>
          </w:p>
        </w:tc>
        <w:tc>
          <w:tcPr>
            <w:tcW w:w="1198" w:type="dxa"/>
            <w:tcBorders>
              <w:top w:val="single" w:sz="12" w:space="0" w:color="auto"/>
              <w:bottom w:val="single" w:sz="12" w:space="0" w:color="auto"/>
            </w:tcBorders>
            <w:hideMark/>
          </w:tcPr>
          <w:p w14:paraId="05B243E8" w14:textId="77777777" w:rsidR="00715570" w:rsidRPr="00B84488" w:rsidRDefault="00715570">
            <w:pPr>
              <w:pStyle w:val="Normal-pool-Table"/>
              <w:jc w:val="right"/>
              <w:rPr>
                <w:bCs/>
                <w:lang w:val="es-ES_tradnl"/>
              </w:rPr>
            </w:pPr>
            <w:r w:rsidRPr="00B84488">
              <w:rPr>
                <w:color w:val="000000"/>
                <w:szCs w:val="18"/>
                <w:lang w:val="es-ES_tradnl"/>
              </w:rPr>
              <w:t>74 940</w:t>
            </w:r>
          </w:p>
        </w:tc>
        <w:tc>
          <w:tcPr>
            <w:tcW w:w="1198" w:type="dxa"/>
            <w:tcBorders>
              <w:top w:val="single" w:sz="12" w:space="0" w:color="auto"/>
              <w:bottom w:val="single" w:sz="12" w:space="0" w:color="auto"/>
            </w:tcBorders>
            <w:hideMark/>
          </w:tcPr>
          <w:p w14:paraId="22E3DBCC" w14:textId="77777777" w:rsidR="00715570" w:rsidRPr="00B84488" w:rsidRDefault="00715570">
            <w:pPr>
              <w:pStyle w:val="Normal-pool-Table"/>
              <w:jc w:val="right"/>
              <w:rPr>
                <w:bCs/>
                <w:lang w:val="es-ES_tradnl"/>
              </w:rPr>
            </w:pPr>
            <w:r w:rsidRPr="00B84488">
              <w:rPr>
                <w:color w:val="000000"/>
                <w:lang w:val="es-ES_tradnl"/>
              </w:rPr>
              <w:t>112 035</w:t>
            </w:r>
          </w:p>
        </w:tc>
        <w:tc>
          <w:tcPr>
            <w:tcW w:w="1199" w:type="dxa"/>
            <w:tcBorders>
              <w:top w:val="single" w:sz="12" w:space="0" w:color="auto"/>
              <w:bottom w:val="single" w:sz="12" w:space="0" w:color="auto"/>
            </w:tcBorders>
            <w:hideMark/>
          </w:tcPr>
          <w:p w14:paraId="1A73E3A6" w14:textId="77777777" w:rsidR="00715570" w:rsidRPr="00B84488" w:rsidRDefault="00715570">
            <w:pPr>
              <w:pStyle w:val="Normal-pool-Table"/>
              <w:jc w:val="right"/>
              <w:rPr>
                <w:bCs/>
                <w:lang w:val="es-ES_tradnl"/>
              </w:rPr>
            </w:pPr>
            <w:r w:rsidRPr="00B84488">
              <w:rPr>
                <w:color w:val="000000"/>
                <w:lang w:val="es-ES_tradnl"/>
              </w:rPr>
              <w:t>128 839</w:t>
            </w:r>
          </w:p>
        </w:tc>
      </w:tr>
    </w:tbl>
    <w:p w14:paraId="42B745DE" w14:textId="7DC36D72" w:rsidR="00715570" w:rsidRPr="00B84488" w:rsidRDefault="00715570" w:rsidP="00B57AED">
      <w:pPr>
        <w:tabs>
          <w:tab w:val="left" w:pos="624"/>
        </w:tabs>
        <w:spacing w:after="120"/>
        <w:ind w:left="1247" w:firstLine="624"/>
        <w:rPr>
          <w:i/>
          <w:sz w:val="17"/>
          <w:szCs w:val="17"/>
          <w:lang w:val="es-ES_tradnl"/>
        </w:rPr>
      </w:pPr>
      <w:r w:rsidRPr="00B84488">
        <w:rPr>
          <w:sz w:val="17"/>
          <w:szCs w:val="17"/>
          <w:lang w:val="es-ES_tradnl"/>
        </w:rPr>
        <w:tab/>
      </w:r>
      <w:r w:rsidRPr="00B84488">
        <w:rPr>
          <w:i/>
          <w:iCs/>
          <w:sz w:val="17"/>
          <w:szCs w:val="17"/>
          <w:lang w:val="es-ES_tradnl"/>
        </w:rPr>
        <w:t>Abreviaciones</w:t>
      </w:r>
      <w:r w:rsidRPr="00B84488">
        <w:rPr>
          <w:sz w:val="17"/>
          <w:szCs w:val="17"/>
          <w:lang w:val="es-ES_tradnl"/>
        </w:rPr>
        <w:t xml:space="preserve">: CO₂ </w:t>
      </w:r>
      <w:proofErr w:type="spellStart"/>
      <w:r w:rsidRPr="00B84488">
        <w:rPr>
          <w:sz w:val="17"/>
          <w:szCs w:val="17"/>
          <w:lang w:val="es-ES_tradnl"/>
        </w:rPr>
        <w:t>eq</w:t>
      </w:r>
      <w:proofErr w:type="spellEnd"/>
      <w:r w:rsidRPr="00B84488">
        <w:rPr>
          <w:sz w:val="17"/>
          <w:szCs w:val="17"/>
          <w:lang w:val="es-ES_tradnl"/>
        </w:rPr>
        <w:t xml:space="preserve"> = dióxido de carbono equivalente; HFC = hidrofluorocarbono. </w:t>
      </w:r>
    </w:p>
    <w:bookmarkEnd w:id="1"/>
    <w:p w14:paraId="12226B6B" w14:textId="0895530C" w:rsidR="00F35079" w:rsidRPr="00B84488" w:rsidRDefault="00F35079" w:rsidP="00FE06AA">
      <w:pPr>
        <w:pStyle w:val="ListParagraph"/>
        <w:numPr>
          <w:ilvl w:val="0"/>
          <w:numId w:val="20"/>
        </w:numPr>
        <w:tabs>
          <w:tab w:val="clear" w:pos="1814"/>
          <w:tab w:val="clear" w:pos="2381"/>
          <w:tab w:val="clear" w:pos="2948"/>
          <w:tab w:val="clear" w:pos="3515"/>
          <w:tab w:val="left" w:pos="624"/>
          <w:tab w:val="left" w:pos="1871"/>
          <w:tab w:val="left" w:pos="2520"/>
          <w:tab w:val="left" w:pos="3742"/>
          <w:tab w:val="left" w:pos="4366"/>
        </w:tabs>
        <w:adjustRightInd w:val="0"/>
        <w:snapToGrid w:val="0"/>
        <w:spacing w:after="120"/>
        <w:ind w:left="1260" w:firstLine="630"/>
        <w:rPr>
          <w:iCs/>
          <w:lang w:val="es-ES_tradnl"/>
        </w:rPr>
      </w:pPr>
      <w:r w:rsidRPr="00B84488">
        <w:rPr>
          <w:lang w:val="es-ES_tradnl"/>
        </w:rPr>
        <w:t>Que Sudáfrica ha aportado información suficiente, de conformidad con la decisión XV/19, para justificar su solicitud de modificación de sus datos sobre consumo de hidrofluorocarbonos correspondientes a 2020, 2021 y 2022, que forman parte del nivel de referencia para las Partes inscritas en el grupo 1 del artículo 5 en virtud de la Enmienda de Kigali al Protocolo de Montreal;</w:t>
      </w:r>
    </w:p>
    <w:p w14:paraId="33777701" w14:textId="5995B46A" w:rsidR="00F35079" w:rsidRPr="00B84488" w:rsidRDefault="00F35079" w:rsidP="009E0BB3">
      <w:pPr>
        <w:numPr>
          <w:ilvl w:val="0"/>
          <w:numId w:val="20"/>
        </w:numPr>
        <w:tabs>
          <w:tab w:val="clear" w:pos="1814"/>
          <w:tab w:val="clear" w:pos="2381"/>
          <w:tab w:val="clear" w:pos="2948"/>
          <w:tab w:val="clear" w:pos="3515"/>
          <w:tab w:val="left" w:pos="624"/>
          <w:tab w:val="left" w:pos="1871"/>
          <w:tab w:val="left" w:pos="2495"/>
          <w:tab w:val="left" w:pos="3119"/>
          <w:tab w:val="left" w:pos="3742"/>
          <w:tab w:val="left" w:pos="4366"/>
        </w:tabs>
        <w:adjustRightInd w:val="0"/>
        <w:snapToGrid w:val="0"/>
        <w:spacing w:after="120"/>
        <w:ind w:left="1247" w:firstLine="624"/>
        <w:rPr>
          <w:iCs/>
          <w:lang w:val="es-ES_tradnl"/>
        </w:rPr>
      </w:pPr>
      <w:r w:rsidRPr="00B84488">
        <w:rPr>
          <w:lang w:val="es-ES_tradnl"/>
        </w:rPr>
        <w:t>Aprobar la solicitud de Sudáfrica y modificar sus datos sobre el consumo de hidrofluorocarbonos en los años de referencia de 2020, 2021 y 2022, según lo indicado en el cuadro siguiente:</w:t>
      </w:r>
    </w:p>
    <w:tbl>
      <w:tblPr>
        <w:tblStyle w:val="TableGrid"/>
        <w:tblW w:w="83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1040"/>
        <w:gridCol w:w="1199"/>
        <w:gridCol w:w="1199"/>
        <w:gridCol w:w="1198"/>
        <w:gridCol w:w="1198"/>
        <w:gridCol w:w="1199"/>
      </w:tblGrid>
      <w:tr w:rsidR="00F35079" w:rsidRPr="00B84488" w14:paraId="02122267" w14:textId="77777777" w:rsidTr="00F35079">
        <w:trPr>
          <w:jc w:val="right"/>
        </w:trPr>
        <w:tc>
          <w:tcPr>
            <w:tcW w:w="1277" w:type="dxa"/>
            <w:vMerge w:val="restart"/>
            <w:tcBorders>
              <w:top w:val="single" w:sz="4" w:space="0" w:color="auto"/>
              <w:left w:val="nil"/>
              <w:bottom w:val="single" w:sz="12" w:space="0" w:color="auto"/>
              <w:right w:val="nil"/>
            </w:tcBorders>
            <w:vAlign w:val="bottom"/>
            <w:hideMark/>
          </w:tcPr>
          <w:p w14:paraId="091D3AC2" w14:textId="77777777" w:rsidR="00F35079" w:rsidRPr="00B84488" w:rsidRDefault="00F35079">
            <w:pPr>
              <w:tabs>
                <w:tab w:val="left" w:pos="624"/>
                <w:tab w:val="left" w:pos="1871"/>
                <w:tab w:val="left" w:pos="2495"/>
                <w:tab w:val="left" w:pos="3119"/>
                <w:tab w:val="left" w:pos="3742"/>
                <w:tab w:val="left" w:pos="4366"/>
                <w:tab w:val="left" w:pos="4990"/>
              </w:tabs>
              <w:spacing w:before="40" w:after="40"/>
              <w:rPr>
                <w:i/>
                <w:iCs/>
                <w:sz w:val="18"/>
                <w:szCs w:val="18"/>
                <w:lang w:val="es-ES_tradnl"/>
              </w:rPr>
            </w:pPr>
            <w:r w:rsidRPr="00B84488">
              <w:rPr>
                <w:i/>
                <w:iCs/>
                <w:color w:val="000000"/>
                <w:sz w:val="18"/>
                <w:szCs w:val="18"/>
                <w:lang w:val="es-ES_tradnl"/>
              </w:rPr>
              <w:t>Parte/año</w:t>
            </w:r>
          </w:p>
        </w:tc>
        <w:tc>
          <w:tcPr>
            <w:tcW w:w="3438" w:type="dxa"/>
            <w:gridSpan w:val="3"/>
            <w:tcBorders>
              <w:top w:val="single" w:sz="4" w:space="0" w:color="auto"/>
              <w:left w:val="nil"/>
              <w:bottom w:val="single" w:sz="4" w:space="0" w:color="auto"/>
              <w:right w:val="single" w:sz="4" w:space="0" w:color="auto"/>
            </w:tcBorders>
            <w:vAlign w:val="bottom"/>
            <w:hideMark/>
          </w:tcPr>
          <w:p w14:paraId="4163CC57" w14:textId="7503F8E0" w:rsidR="00F35079" w:rsidRPr="00B84488" w:rsidRDefault="00F35079">
            <w:pPr>
              <w:tabs>
                <w:tab w:val="left" w:pos="624"/>
                <w:tab w:val="left" w:pos="1871"/>
                <w:tab w:val="left" w:pos="2495"/>
                <w:tab w:val="left" w:pos="3119"/>
                <w:tab w:val="left" w:pos="3742"/>
                <w:tab w:val="left" w:pos="4366"/>
                <w:tab w:val="left" w:pos="4990"/>
              </w:tabs>
              <w:spacing w:before="40" w:after="40"/>
              <w:jc w:val="center"/>
              <w:rPr>
                <w:i/>
                <w:sz w:val="18"/>
                <w:szCs w:val="18"/>
                <w:lang w:val="es-ES_tradnl"/>
              </w:rPr>
            </w:pPr>
            <w:r w:rsidRPr="00B84488">
              <w:rPr>
                <w:i/>
                <w:iCs/>
                <w:color w:val="000000"/>
                <w:sz w:val="18"/>
                <w:szCs w:val="18"/>
                <w:lang w:val="es-ES_tradnl"/>
              </w:rPr>
              <w:t xml:space="preserve">Datos anteriores sobre HFC </w:t>
            </w:r>
            <w:r w:rsidR="00D334DD" w:rsidRPr="00B84488">
              <w:rPr>
                <w:i/>
                <w:iCs/>
                <w:color w:val="000000"/>
                <w:sz w:val="18"/>
                <w:szCs w:val="18"/>
                <w:lang w:val="es-ES_tradnl"/>
              </w:rPr>
              <w:br/>
            </w:r>
            <w:r w:rsidRPr="00B84488">
              <w:rPr>
                <w:i/>
                <w:iCs/>
                <w:color w:val="000000"/>
                <w:sz w:val="18"/>
                <w:szCs w:val="18"/>
                <w:lang w:val="es-ES_tradnl"/>
              </w:rPr>
              <w:t xml:space="preserve">(toneladas de CO₂ </w:t>
            </w:r>
            <w:proofErr w:type="spellStart"/>
            <w:r w:rsidRPr="00B84488">
              <w:rPr>
                <w:i/>
                <w:iCs/>
                <w:color w:val="000000"/>
                <w:sz w:val="18"/>
                <w:szCs w:val="18"/>
                <w:lang w:val="es-ES_tradnl"/>
              </w:rPr>
              <w:t>eq</w:t>
            </w:r>
            <w:proofErr w:type="spellEnd"/>
            <w:r w:rsidRPr="00B84488">
              <w:rPr>
                <w:i/>
                <w:iCs/>
                <w:color w:val="000000"/>
                <w:sz w:val="18"/>
                <w:szCs w:val="18"/>
                <w:lang w:val="es-ES_tradnl"/>
              </w:rPr>
              <w:t>)</w:t>
            </w:r>
          </w:p>
        </w:tc>
        <w:tc>
          <w:tcPr>
            <w:tcW w:w="3595" w:type="dxa"/>
            <w:gridSpan w:val="3"/>
            <w:tcBorders>
              <w:top w:val="single" w:sz="4" w:space="0" w:color="auto"/>
              <w:left w:val="single" w:sz="4" w:space="0" w:color="auto"/>
              <w:bottom w:val="single" w:sz="4" w:space="0" w:color="auto"/>
              <w:right w:val="nil"/>
            </w:tcBorders>
            <w:vAlign w:val="bottom"/>
            <w:hideMark/>
          </w:tcPr>
          <w:p w14:paraId="2CA2F15C" w14:textId="346FA9CE" w:rsidR="00F35079" w:rsidRPr="00B84488" w:rsidRDefault="00F35079">
            <w:pPr>
              <w:tabs>
                <w:tab w:val="left" w:pos="624"/>
                <w:tab w:val="left" w:pos="1871"/>
                <w:tab w:val="left" w:pos="2495"/>
                <w:tab w:val="left" w:pos="3119"/>
                <w:tab w:val="left" w:pos="3742"/>
                <w:tab w:val="left" w:pos="4366"/>
                <w:tab w:val="left" w:pos="4990"/>
              </w:tabs>
              <w:spacing w:before="40" w:after="40"/>
              <w:jc w:val="center"/>
              <w:rPr>
                <w:i/>
                <w:sz w:val="18"/>
                <w:szCs w:val="18"/>
                <w:lang w:val="es-ES_tradnl"/>
              </w:rPr>
            </w:pPr>
            <w:r w:rsidRPr="00B84488">
              <w:rPr>
                <w:i/>
                <w:iCs/>
                <w:color w:val="000000"/>
                <w:sz w:val="18"/>
                <w:szCs w:val="18"/>
                <w:lang w:val="es-ES_tradnl"/>
              </w:rPr>
              <w:t xml:space="preserve">Nuevos datos sobre HFC </w:t>
            </w:r>
            <w:r w:rsidR="00D334DD" w:rsidRPr="00B84488">
              <w:rPr>
                <w:i/>
                <w:iCs/>
                <w:color w:val="000000"/>
                <w:sz w:val="18"/>
                <w:szCs w:val="18"/>
                <w:lang w:val="es-ES_tradnl"/>
              </w:rPr>
              <w:br/>
            </w:r>
            <w:r w:rsidRPr="00B84488">
              <w:rPr>
                <w:i/>
                <w:iCs/>
                <w:color w:val="000000"/>
                <w:sz w:val="18"/>
                <w:szCs w:val="18"/>
                <w:lang w:val="es-ES_tradnl"/>
              </w:rPr>
              <w:t xml:space="preserve">(toneladas de CO₂ </w:t>
            </w:r>
            <w:proofErr w:type="spellStart"/>
            <w:r w:rsidRPr="00B84488">
              <w:rPr>
                <w:i/>
                <w:iCs/>
                <w:color w:val="000000"/>
                <w:sz w:val="18"/>
                <w:szCs w:val="18"/>
                <w:lang w:val="es-ES_tradnl"/>
              </w:rPr>
              <w:t>eq</w:t>
            </w:r>
            <w:proofErr w:type="spellEnd"/>
            <w:r w:rsidRPr="00B84488">
              <w:rPr>
                <w:i/>
                <w:iCs/>
                <w:color w:val="000000"/>
                <w:sz w:val="18"/>
                <w:szCs w:val="18"/>
                <w:lang w:val="es-ES_tradnl"/>
              </w:rPr>
              <w:t>)</w:t>
            </w:r>
          </w:p>
        </w:tc>
      </w:tr>
      <w:tr w:rsidR="00F35079" w:rsidRPr="00B84488" w14:paraId="575B93E7" w14:textId="77777777" w:rsidTr="00F35079">
        <w:trPr>
          <w:jc w:val="right"/>
        </w:trPr>
        <w:tc>
          <w:tcPr>
            <w:tcW w:w="1277" w:type="dxa"/>
            <w:vMerge/>
            <w:tcBorders>
              <w:top w:val="single" w:sz="4" w:space="0" w:color="auto"/>
              <w:left w:val="nil"/>
              <w:bottom w:val="single" w:sz="12" w:space="0" w:color="auto"/>
              <w:right w:val="nil"/>
            </w:tcBorders>
            <w:vAlign w:val="center"/>
            <w:hideMark/>
          </w:tcPr>
          <w:p w14:paraId="0CBE83F1" w14:textId="77777777" w:rsidR="00F35079" w:rsidRPr="00B84488" w:rsidRDefault="00F35079">
            <w:pPr>
              <w:rPr>
                <w:i/>
                <w:iCs/>
                <w:sz w:val="18"/>
                <w:szCs w:val="18"/>
                <w:lang w:val="es-ES_tradnl" w:eastAsia="zh-CN"/>
              </w:rPr>
            </w:pPr>
          </w:p>
        </w:tc>
        <w:tc>
          <w:tcPr>
            <w:tcW w:w="1040" w:type="dxa"/>
            <w:tcBorders>
              <w:top w:val="single" w:sz="4" w:space="0" w:color="auto"/>
              <w:left w:val="nil"/>
              <w:bottom w:val="single" w:sz="12" w:space="0" w:color="auto"/>
              <w:right w:val="nil"/>
            </w:tcBorders>
            <w:vAlign w:val="bottom"/>
            <w:hideMark/>
          </w:tcPr>
          <w:p w14:paraId="03D862B7"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es-ES_tradnl"/>
              </w:rPr>
            </w:pPr>
            <w:r w:rsidRPr="00B84488">
              <w:rPr>
                <w:i/>
                <w:iCs/>
                <w:color w:val="000000"/>
                <w:sz w:val="18"/>
                <w:szCs w:val="18"/>
                <w:lang w:val="es-ES_tradnl"/>
              </w:rPr>
              <w:t>2020</w:t>
            </w:r>
          </w:p>
        </w:tc>
        <w:tc>
          <w:tcPr>
            <w:tcW w:w="1199" w:type="dxa"/>
            <w:tcBorders>
              <w:top w:val="single" w:sz="4" w:space="0" w:color="auto"/>
              <w:left w:val="nil"/>
              <w:bottom w:val="single" w:sz="12" w:space="0" w:color="auto"/>
              <w:right w:val="nil"/>
            </w:tcBorders>
            <w:vAlign w:val="bottom"/>
            <w:hideMark/>
          </w:tcPr>
          <w:p w14:paraId="1F4FA665"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es-ES_tradnl"/>
              </w:rPr>
            </w:pPr>
            <w:r w:rsidRPr="00B84488">
              <w:rPr>
                <w:i/>
                <w:iCs/>
                <w:color w:val="000000"/>
                <w:sz w:val="18"/>
                <w:szCs w:val="18"/>
                <w:lang w:val="es-ES_tradnl"/>
              </w:rPr>
              <w:t>2021</w:t>
            </w:r>
          </w:p>
        </w:tc>
        <w:tc>
          <w:tcPr>
            <w:tcW w:w="1199" w:type="dxa"/>
            <w:tcBorders>
              <w:top w:val="single" w:sz="4" w:space="0" w:color="auto"/>
              <w:left w:val="nil"/>
              <w:bottom w:val="single" w:sz="12" w:space="0" w:color="auto"/>
              <w:right w:val="single" w:sz="4" w:space="0" w:color="auto"/>
            </w:tcBorders>
            <w:vAlign w:val="bottom"/>
            <w:hideMark/>
          </w:tcPr>
          <w:p w14:paraId="4DAF2372"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es-ES_tradnl"/>
              </w:rPr>
            </w:pPr>
            <w:r w:rsidRPr="00B84488">
              <w:rPr>
                <w:i/>
                <w:iCs/>
                <w:color w:val="000000"/>
                <w:sz w:val="18"/>
                <w:szCs w:val="18"/>
                <w:lang w:val="es-ES_tradnl"/>
              </w:rPr>
              <w:t>2022</w:t>
            </w:r>
          </w:p>
        </w:tc>
        <w:tc>
          <w:tcPr>
            <w:tcW w:w="1198" w:type="dxa"/>
            <w:tcBorders>
              <w:top w:val="single" w:sz="4" w:space="0" w:color="auto"/>
              <w:left w:val="single" w:sz="4" w:space="0" w:color="auto"/>
              <w:bottom w:val="single" w:sz="12" w:space="0" w:color="auto"/>
              <w:right w:val="nil"/>
            </w:tcBorders>
            <w:vAlign w:val="bottom"/>
            <w:hideMark/>
          </w:tcPr>
          <w:p w14:paraId="52EFAC8C"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es-ES_tradnl"/>
              </w:rPr>
            </w:pPr>
            <w:r w:rsidRPr="00B84488">
              <w:rPr>
                <w:i/>
                <w:iCs/>
                <w:color w:val="000000"/>
                <w:sz w:val="18"/>
                <w:szCs w:val="18"/>
                <w:lang w:val="es-ES_tradnl"/>
              </w:rPr>
              <w:t>2020</w:t>
            </w:r>
          </w:p>
        </w:tc>
        <w:tc>
          <w:tcPr>
            <w:tcW w:w="1198" w:type="dxa"/>
            <w:tcBorders>
              <w:top w:val="single" w:sz="4" w:space="0" w:color="auto"/>
              <w:left w:val="nil"/>
              <w:bottom w:val="single" w:sz="12" w:space="0" w:color="auto"/>
              <w:right w:val="nil"/>
            </w:tcBorders>
            <w:vAlign w:val="bottom"/>
            <w:hideMark/>
          </w:tcPr>
          <w:p w14:paraId="4FBB526C"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es-ES_tradnl"/>
              </w:rPr>
            </w:pPr>
            <w:r w:rsidRPr="00B84488">
              <w:rPr>
                <w:i/>
                <w:iCs/>
                <w:color w:val="000000"/>
                <w:sz w:val="18"/>
                <w:szCs w:val="18"/>
                <w:lang w:val="es-ES_tradnl"/>
              </w:rPr>
              <w:t>2021</w:t>
            </w:r>
          </w:p>
        </w:tc>
        <w:tc>
          <w:tcPr>
            <w:tcW w:w="1199" w:type="dxa"/>
            <w:tcBorders>
              <w:top w:val="single" w:sz="4" w:space="0" w:color="auto"/>
              <w:left w:val="nil"/>
              <w:bottom w:val="single" w:sz="12" w:space="0" w:color="auto"/>
              <w:right w:val="nil"/>
            </w:tcBorders>
            <w:vAlign w:val="bottom"/>
            <w:hideMark/>
          </w:tcPr>
          <w:p w14:paraId="6055D1B9"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i/>
                <w:iCs/>
                <w:sz w:val="18"/>
                <w:szCs w:val="18"/>
                <w:lang w:val="es-ES_tradnl"/>
              </w:rPr>
            </w:pPr>
            <w:r w:rsidRPr="00B84488">
              <w:rPr>
                <w:i/>
                <w:iCs/>
                <w:color w:val="000000"/>
                <w:sz w:val="18"/>
                <w:szCs w:val="18"/>
                <w:lang w:val="es-ES_tradnl"/>
              </w:rPr>
              <w:t>2022</w:t>
            </w:r>
          </w:p>
        </w:tc>
      </w:tr>
      <w:tr w:rsidR="00F35079" w:rsidRPr="00B84488" w14:paraId="53C2D235" w14:textId="77777777" w:rsidTr="00F35079">
        <w:trPr>
          <w:jc w:val="right"/>
        </w:trPr>
        <w:tc>
          <w:tcPr>
            <w:tcW w:w="1277" w:type="dxa"/>
            <w:tcBorders>
              <w:top w:val="single" w:sz="12" w:space="0" w:color="auto"/>
              <w:left w:val="nil"/>
              <w:bottom w:val="single" w:sz="12" w:space="0" w:color="auto"/>
              <w:right w:val="nil"/>
            </w:tcBorders>
            <w:hideMark/>
          </w:tcPr>
          <w:p w14:paraId="6F45DBC2" w14:textId="77777777" w:rsidR="00F35079" w:rsidRPr="00B84488" w:rsidRDefault="00F35079">
            <w:pPr>
              <w:tabs>
                <w:tab w:val="left" w:pos="624"/>
                <w:tab w:val="left" w:pos="1871"/>
                <w:tab w:val="left" w:pos="2495"/>
                <w:tab w:val="left" w:pos="3119"/>
                <w:tab w:val="left" w:pos="3742"/>
                <w:tab w:val="left" w:pos="4366"/>
                <w:tab w:val="left" w:pos="4990"/>
              </w:tabs>
              <w:spacing w:before="40" w:after="40"/>
              <w:rPr>
                <w:sz w:val="18"/>
                <w:szCs w:val="18"/>
                <w:lang w:val="es-ES_tradnl"/>
              </w:rPr>
            </w:pPr>
            <w:r w:rsidRPr="00B84488">
              <w:rPr>
                <w:color w:val="000000"/>
                <w:sz w:val="18"/>
                <w:szCs w:val="18"/>
                <w:lang w:val="es-ES_tradnl"/>
              </w:rPr>
              <w:t>Sudáfrica</w:t>
            </w:r>
          </w:p>
        </w:tc>
        <w:tc>
          <w:tcPr>
            <w:tcW w:w="1040" w:type="dxa"/>
            <w:tcBorders>
              <w:top w:val="single" w:sz="12" w:space="0" w:color="auto"/>
              <w:left w:val="nil"/>
              <w:bottom w:val="single" w:sz="12" w:space="0" w:color="auto"/>
              <w:right w:val="nil"/>
            </w:tcBorders>
            <w:hideMark/>
          </w:tcPr>
          <w:p w14:paraId="660C8F52"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sz w:val="18"/>
                <w:szCs w:val="18"/>
                <w:lang w:val="es-ES_tradnl"/>
              </w:rPr>
            </w:pPr>
            <w:r w:rsidRPr="00B84488">
              <w:rPr>
                <w:color w:val="000000"/>
                <w:sz w:val="18"/>
                <w:szCs w:val="18"/>
                <w:lang w:val="es-ES_tradnl"/>
              </w:rPr>
              <w:t>8 221 905</w:t>
            </w:r>
          </w:p>
        </w:tc>
        <w:tc>
          <w:tcPr>
            <w:tcW w:w="1199" w:type="dxa"/>
            <w:tcBorders>
              <w:top w:val="single" w:sz="12" w:space="0" w:color="auto"/>
              <w:left w:val="nil"/>
              <w:bottom w:val="single" w:sz="12" w:space="0" w:color="auto"/>
              <w:right w:val="nil"/>
            </w:tcBorders>
            <w:hideMark/>
          </w:tcPr>
          <w:p w14:paraId="0AE321B9"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sz w:val="18"/>
                <w:szCs w:val="18"/>
                <w:lang w:val="es-ES_tradnl"/>
              </w:rPr>
            </w:pPr>
            <w:r w:rsidRPr="00B84488">
              <w:rPr>
                <w:color w:val="000000"/>
                <w:sz w:val="18"/>
                <w:szCs w:val="18"/>
                <w:lang w:val="es-ES_tradnl"/>
              </w:rPr>
              <w:t>9 164 240</w:t>
            </w:r>
          </w:p>
        </w:tc>
        <w:tc>
          <w:tcPr>
            <w:tcW w:w="1199" w:type="dxa"/>
            <w:tcBorders>
              <w:top w:val="single" w:sz="12" w:space="0" w:color="auto"/>
              <w:left w:val="nil"/>
              <w:bottom w:val="single" w:sz="12" w:space="0" w:color="auto"/>
              <w:right w:val="single" w:sz="4" w:space="0" w:color="auto"/>
            </w:tcBorders>
            <w:hideMark/>
          </w:tcPr>
          <w:p w14:paraId="46915D05"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sz w:val="18"/>
                <w:szCs w:val="18"/>
                <w:lang w:val="es-ES_tradnl"/>
              </w:rPr>
            </w:pPr>
            <w:r w:rsidRPr="00B84488">
              <w:rPr>
                <w:color w:val="000000"/>
                <w:sz w:val="18"/>
                <w:szCs w:val="18"/>
                <w:lang w:val="es-ES_tradnl"/>
              </w:rPr>
              <w:t>8 647 454</w:t>
            </w:r>
          </w:p>
        </w:tc>
        <w:tc>
          <w:tcPr>
            <w:tcW w:w="1198" w:type="dxa"/>
            <w:tcBorders>
              <w:top w:val="single" w:sz="12" w:space="0" w:color="auto"/>
              <w:left w:val="single" w:sz="4" w:space="0" w:color="auto"/>
              <w:bottom w:val="single" w:sz="12" w:space="0" w:color="auto"/>
              <w:right w:val="nil"/>
            </w:tcBorders>
            <w:hideMark/>
          </w:tcPr>
          <w:p w14:paraId="51AA661A"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sz w:val="18"/>
                <w:szCs w:val="18"/>
                <w:lang w:val="es-ES_tradnl"/>
              </w:rPr>
            </w:pPr>
            <w:r w:rsidRPr="00B84488">
              <w:rPr>
                <w:color w:val="000000"/>
                <w:sz w:val="18"/>
                <w:szCs w:val="18"/>
                <w:lang w:val="es-ES_tradnl"/>
              </w:rPr>
              <w:t>7 580 345</w:t>
            </w:r>
          </w:p>
        </w:tc>
        <w:tc>
          <w:tcPr>
            <w:tcW w:w="1198" w:type="dxa"/>
            <w:tcBorders>
              <w:top w:val="single" w:sz="12" w:space="0" w:color="auto"/>
              <w:left w:val="nil"/>
              <w:bottom w:val="single" w:sz="12" w:space="0" w:color="auto"/>
              <w:right w:val="nil"/>
            </w:tcBorders>
            <w:hideMark/>
          </w:tcPr>
          <w:p w14:paraId="111BD2C2"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sz w:val="18"/>
                <w:szCs w:val="18"/>
                <w:lang w:val="es-ES_tradnl"/>
              </w:rPr>
            </w:pPr>
            <w:r w:rsidRPr="00B84488">
              <w:rPr>
                <w:color w:val="000000"/>
                <w:sz w:val="18"/>
                <w:szCs w:val="18"/>
                <w:lang w:val="es-ES_tradnl"/>
              </w:rPr>
              <w:t>8 623 823</w:t>
            </w:r>
          </w:p>
        </w:tc>
        <w:tc>
          <w:tcPr>
            <w:tcW w:w="1199" w:type="dxa"/>
            <w:tcBorders>
              <w:top w:val="single" w:sz="12" w:space="0" w:color="auto"/>
              <w:left w:val="nil"/>
              <w:bottom w:val="single" w:sz="12" w:space="0" w:color="auto"/>
              <w:right w:val="nil"/>
            </w:tcBorders>
            <w:hideMark/>
          </w:tcPr>
          <w:p w14:paraId="737111BF" w14:textId="77777777" w:rsidR="00F35079" w:rsidRPr="00B84488" w:rsidRDefault="00F35079">
            <w:pPr>
              <w:tabs>
                <w:tab w:val="left" w:pos="624"/>
                <w:tab w:val="left" w:pos="1871"/>
                <w:tab w:val="left" w:pos="2495"/>
                <w:tab w:val="left" w:pos="3119"/>
                <w:tab w:val="left" w:pos="3742"/>
                <w:tab w:val="left" w:pos="4366"/>
                <w:tab w:val="left" w:pos="4990"/>
              </w:tabs>
              <w:spacing w:before="40" w:after="40"/>
              <w:jc w:val="right"/>
              <w:rPr>
                <w:sz w:val="18"/>
                <w:szCs w:val="18"/>
                <w:lang w:val="es-ES_tradnl"/>
              </w:rPr>
            </w:pPr>
            <w:r w:rsidRPr="00B84488">
              <w:rPr>
                <w:color w:val="000000"/>
                <w:sz w:val="18"/>
                <w:szCs w:val="18"/>
                <w:lang w:val="es-ES_tradnl"/>
              </w:rPr>
              <w:t>8 228 837</w:t>
            </w:r>
          </w:p>
        </w:tc>
      </w:tr>
    </w:tbl>
    <w:p w14:paraId="740724FA" w14:textId="4869C26A" w:rsidR="00F35079" w:rsidRPr="00B84488" w:rsidRDefault="00F35079" w:rsidP="00B57AED">
      <w:pPr>
        <w:tabs>
          <w:tab w:val="left" w:pos="624"/>
        </w:tabs>
        <w:spacing w:after="120"/>
        <w:ind w:left="1247" w:firstLine="624"/>
        <w:rPr>
          <w:rFonts w:eastAsiaTheme="minorHAnsi"/>
          <w:kern w:val="2"/>
          <w:sz w:val="17"/>
          <w:szCs w:val="17"/>
          <w:lang w:val="es-ES_tradnl"/>
          <w14:ligatures w14:val="standardContextual"/>
        </w:rPr>
      </w:pPr>
      <w:r w:rsidRPr="00B84488">
        <w:rPr>
          <w:sz w:val="17"/>
          <w:szCs w:val="17"/>
          <w:lang w:val="es-ES_tradnl"/>
        </w:rPr>
        <w:tab/>
      </w:r>
      <w:r w:rsidRPr="00B84488">
        <w:rPr>
          <w:i/>
          <w:iCs/>
          <w:sz w:val="17"/>
          <w:szCs w:val="17"/>
          <w:lang w:val="es-ES_tradnl"/>
        </w:rPr>
        <w:t>Abreviaciones</w:t>
      </w:r>
      <w:r w:rsidRPr="00B84488">
        <w:rPr>
          <w:sz w:val="17"/>
          <w:szCs w:val="17"/>
          <w:lang w:val="es-ES_tradnl"/>
        </w:rPr>
        <w:t xml:space="preserve">: CO₂ </w:t>
      </w:r>
      <w:proofErr w:type="spellStart"/>
      <w:r w:rsidRPr="00B84488">
        <w:rPr>
          <w:sz w:val="17"/>
          <w:szCs w:val="17"/>
          <w:lang w:val="es-ES_tradnl"/>
        </w:rPr>
        <w:t>eq</w:t>
      </w:r>
      <w:proofErr w:type="spellEnd"/>
      <w:r w:rsidRPr="00B84488">
        <w:rPr>
          <w:sz w:val="17"/>
          <w:szCs w:val="17"/>
          <w:lang w:val="es-ES_tradnl"/>
        </w:rPr>
        <w:t xml:space="preserve"> = dióxido de carbono equivalente; HFC = hidrofluorocarbono.</w:t>
      </w:r>
    </w:p>
    <w:p w14:paraId="51226FF9" w14:textId="77777777" w:rsidR="00F35079" w:rsidRPr="00B84488" w:rsidRDefault="00F35079" w:rsidP="00B57AED">
      <w:pPr>
        <w:pStyle w:val="Normal-pool"/>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B57AED" w:rsidRPr="00B84488" w14:paraId="75D1D036" w14:textId="77777777" w:rsidTr="00B57AED">
        <w:tc>
          <w:tcPr>
            <w:tcW w:w="1897" w:type="dxa"/>
          </w:tcPr>
          <w:p w14:paraId="0C18FB86" w14:textId="77777777" w:rsidR="00B57AED" w:rsidRPr="00B84488" w:rsidRDefault="00B57AED" w:rsidP="00B57AED">
            <w:pPr>
              <w:pStyle w:val="Normal-pool"/>
              <w:spacing w:before="520"/>
              <w:rPr>
                <w:lang w:val="es-ES_tradnl"/>
              </w:rPr>
            </w:pPr>
          </w:p>
        </w:tc>
        <w:tc>
          <w:tcPr>
            <w:tcW w:w="1897" w:type="dxa"/>
          </w:tcPr>
          <w:p w14:paraId="3575E8B2" w14:textId="77777777" w:rsidR="00B57AED" w:rsidRPr="00B84488" w:rsidRDefault="00B57AED" w:rsidP="00B57AED">
            <w:pPr>
              <w:pStyle w:val="Normal-pool"/>
              <w:spacing w:before="520"/>
              <w:rPr>
                <w:lang w:val="es-ES_tradnl"/>
              </w:rPr>
            </w:pPr>
          </w:p>
        </w:tc>
        <w:tc>
          <w:tcPr>
            <w:tcW w:w="1897" w:type="dxa"/>
            <w:tcBorders>
              <w:bottom w:val="single" w:sz="4" w:space="0" w:color="auto"/>
            </w:tcBorders>
          </w:tcPr>
          <w:p w14:paraId="076CC42B" w14:textId="77777777" w:rsidR="00B57AED" w:rsidRPr="00B84488" w:rsidRDefault="00B57AED" w:rsidP="00B57AED">
            <w:pPr>
              <w:pStyle w:val="Normal-pool"/>
              <w:spacing w:before="520"/>
              <w:rPr>
                <w:lang w:val="es-ES_tradnl"/>
              </w:rPr>
            </w:pPr>
          </w:p>
        </w:tc>
        <w:tc>
          <w:tcPr>
            <w:tcW w:w="1898" w:type="dxa"/>
          </w:tcPr>
          <w:p w14:paraId="72AE4E61" w14:textId="77777777" w:rsidR="00B57AED" w:rsidRPr="00B84488" w:rsidRDefault="00B57AED" w:rsidP="00B57AED">
            <w:pPr>
              <w:pStyle w:val="Normal-pool"/>
              <w:spacing w:before="520"/>
              <w:rPr>
                <w:lang w:val="es-ES_tradnl"/>
              </w:rPr>
            </w:pPr>
          </w:p>
        </w:tc>
        <w:tc>
          <w:tcPr>
            <w:tcW w:w="1898" w:type="dxa"/>
          </w:tcPr>
          <w:p w14:paraId="2401D840" w14:textId="77777777" w:rsidR="00B57AED" w:rsidRPr="00B84488" w:rsidRDefault="00B57AED" w:rsidP="00B57AED">
            <w:pPr>
              <w:pStyle w:val="Normal-pool"/>
              <w:spacing w:before="520"/>
              <w:rPr>
                <w:lang w:val="es-ES_tradnl"/>
              </w:rPr>
            </w:pPr>
          </w:p>
        </w:tc>
      </w:tr>
    </w:tbl>
    <w:p w14:paraId="21D0F8BB" w14:textId="77777777" w:rsidR="00B57AED" w:rsidRPr="00B84488" w:rsidRDefault="00B57AED" w:rsidP="00B57AED">
      <w:pPr>
        <w:pStyle w:val="Normal-pool"/>
        <w:rPr>
          <w:lang w:val="es-ES_tradnl"/>
        </w:rPr>
      </w:pPr>
    </w:p>
    <w:sectPr w:rsidR="00B57AED" w:rsidRPr="00B84488" w:rsidSect="00164569">
      <w:headerReference w:type="even" r:id="rId11"/>
      <w:headerReference w:type="default" r:id="rId12"/>
      <w:footerReference w:type="even" r:id="rId13"/>
      <w:footerReference w:type="default" r:id="rId14"/>
      <w:headerReference w:type="first" r:id="rId15"/>
      <w:footerReference w:type="first" r:id="rId16"/>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7F0DA" w14:textId="77777777" w:rsidR="00A80BD7" w:rsidRPr="00164569" w:rsidRDefault="00A80BD7">
      <w:r w:rsidRPr="00164569">
        <w:separator/>
      </w:r>
    </w:p>
  </w:endnote>
  <w:endnote w:type="continuationSeparator" w:id="0">
    <w:p w14:paraId="1CECBD3F" w14:textId="77777777" w:rsidR="00A80BD7" w:rsidRPr="00164569" w:rsidRDefault="00A80BD7">
      <w:r w:rsidRPr="001645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CC51" w14:textId="735B0530" w:rsidR="007A36F8" w:rsidRPr="00164569" w:rsidRDefault="00164569" w:rsidP="00164569">
    <w:pPr>
      <w:pStyle w:val="Footer-pool"/>
    </w:pPr>
    <w:r w:rsidRPr="00164569">
      <w:rPr>
        <w:rStyle w:val="PageNumber"/>
        <w:b/>
      </w:rPr>
      <w:fldChar w:fldCharType="begin"/>
    </w:r>
    <w:r w:rsidRPr="00164569">
      <w:rPr>
        <w:rStyle w:val="PageNumber"/>
        <w:b/>
      </w:rPr>
      <w:instrText xml:space="preserve"> PAGE </w:instrText>
    </w:r>
    <w:r w:rsidRPr="00164569">
      <w:rPr>
        <w:rStyle w:val="PageNumber"/>
        <w:b/>
      </w:rPr>
      <w:fldChar w:fldCharType="separate"/>
    </w:r>
    <w:r w:rsidRPr="00164569">
      <w:rPr>
        <w:rStyle w:val="PageNumber"/>
        <w:b/>
        <w:noProof/>
      </w:rPr>
      <w:t>1</w:t>
    </w:r>
    <w:r w:rsidRPr="00164569">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E184" w14:textId="7688F85D" w:rsidR="007A36F8" w:rsidRPr="00D334DD" w:rsidRDefault="00164569" w:rsidP="00AD2DBC">
    <w:pPr>
      <w:pStyle w:val="Footer-pool"/>
      <w:jc w:val="right"/>
      <w:rPr>
        <w:b w:val="0"/>
        <w:bCs/>
      </w:rPr>
    </w:pPr>
    <w:r w:rsidRPr="00D334DD">
      <w:rPr>
        <w:rStyle w:val="PageNumber"/>
        <w:b/>
        <w:bCs/>
      </w:rPr>
      <w:fldChar w:fldCharType="begin"/>
    </w:r>
    <w:r w:rsidRPr="00D334DD">
      <w:rPr>
        <w:rStyle w:val="PageNumber"/>
        <w:b/>
        <w:bCs/>
      </w:rPr>
      <w:instrText xml:space="preserve"> PAGE \* MERGEFORMAT </w:instrText>
    </w:r>
    <w:r w:rsidRPr="00D334DD">
      <w:rPr>
        <w:rStyle w:val="PageNumber"/>
        <w:b/>
        <w:bCs/>
      </w:rPr>
      <w:fldChar w:fldCharType="separate"/>
    </w:r>
    <w:r w:rsidRPr="00D334DD">
      <w:rPr>
        <w:rStyle w:val="PageNumber"/>
        <w:b/>
        <w:bCs/>
        <w:noProof/>
      </w:rPr>
      <w:t>1</w:t>
    </w:r>
    <w:r w:rsidRPr="00D334DD">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9D39" w14:textId="38E46D80" w:rsidR="002D2394" w:rsidRDefault="002D2394" w:rsidP="002D2394">
    <w:pPr>
      <w:pStyle w:val="Footer-jobnumber"/>
    </w:pPr>
    <w:bookmarkStart w:id="2" w:name="FooterJobDate"/>
    <w:r w:rsidRPr="00ED2B18">
      <w:t>UNON_DCS_261</w:t>
    </w:r>
    <w:r w:rsidR="000B0DA1">
      <w:t>6373</w:t>
    </w:r>
    <w:r w:rsidRPr="00ED2B18">
      <w:t>[</w:t>
    </w:r>
    <w:r w:rsidR="00067462">
      <w:t>S</w:t>
    </w:r>
    <w:r w:rsidRPr="00ED2B18">
      <w:t>]</w:t>
    </w:r>
    <w:r w:rsidRPr="00ED2B18">
      <w:tab/>
    </w:r>
    <w:r w:rsidR="00067462">
      <w:t>02</w:t>
    </w:r>
    <w:r w:rsidR="000B0DA1">
      <w:t>11</w:t>
    </w:r>
    <w:r w:rsidRPr="00ED2B18">
      <w:t>26</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EDAE0" w14:textId="77777777" w:rsidR="00A80BD7" w:rsidRPr="00164569" w:rsidRDefault="00A80BD7" w:rsidP="00C70B49">
      <w:pPr>
        <w:pStyle w:val="Footnote-Separator"/>
        <w:rPr>
          <w:szCs w:val="18"/>
        </w:rPr>
      </w:pPr>
      <w:r w:rsidRPr="00164569">
        <w:separator/>
      </w:r>
    </w:p>
  </w:footnote>
  <w:footnote w:type="continuationSeparator" w:id="0">
    <w:p w14:paraId="70C2FBAE" w14:textId="77777777" w:rsidR="00A80BD7" w:rsidRPr="00164569" w:rsidRDefault="00A80BD7" w:rsidP="00C70B49">
      <w:pPr>
        <w:pStyle w:val="Footnote-Separator"/>
      </w:pPr>
      <w:r w:rsidRPr="00164569">
        <w:continuationSeparator/>
      </w:r>
    </w:p>
  </w:footnote>
  <w:footnote w:type="continuationNotice" w:id="1">
    <w:p w14:paraId="0619732C" w14:textId="77777777" w:rsidR="00A80BD7" w:rsidRPr="00164569" w:rsidRDefault="00A80BD7"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5460" w14:textId="4D1E4EDE" w:rsidR="007A36F8" w:rsidRPr="00164569" w:rsidRDefault="000B0DA1" w:rsidP="00BD2567">
    <w:pPr>
      <w:pStyle w:val="Header-pool"/>
    </w:pPr>
    <w:r>
      <w:rPr>
        <w:noProof/>
      </w:rPr>
      <w:t>UNEP/OzL.Pro.38/CRP.1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320D" w14:textId="49F6EF3C" w:rsidR="007A36F8" w:rsidRPr="00164569" w:rsidRDefault="000B0DA1" w:rsidP="00164569">
    <w:pPr>
      <w:pStyle w:val="Header-pool"/>
      <w:jc w:val="right"/>
    </w:pPr>
    <w:r>
      <w:rPr>
        <w:noProof/>
      </w:rPr>
      <w:t>UNEP/OzL.Pro.38/CRP.1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D49E1" w14:textId="77777777" w:rsidR="00D334DD" w:rsidRDefault="00D334DD" w:rsidP="00D334D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94BD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54E6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96FF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6C655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6CEB2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CADA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3A97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6074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C8A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988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4704F5"/>
    <w:multiLevelType w:val="hybridMultilevel"/>
    <w:tmpl w:val="A94AFFA4"/>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2" w15:restartNumberingAfterBreak="0">
    <w:nsid w:val="16847E3C"/>
    <w:multiLevelType w:val="hybridMultilevel"/>
    <w:tmpl w:val="130C2F0C"/>
    <w:lvl w:ilvl="0" w:tplc="3AD091C8">
      <w:start w:val="1"/>
      <w:numFmt w:val="decimal"/>
      <w:lvlText w:val="%1."/>
      <w:lvlJc w:val="left"/>
      <w:pPr>
        <w:ind w:left="2951" w:hanging="360"/>
      </w:pPr>
      <w:rPr>
        <w:rFonts w:hint="default"/>
      </w:rPr>
    </w:lvl>
    <w:lvl w:ilvl="1" w:tplc="08090019" w:tentative="1">
      <w:start w:val="1"/>
      <w:numFmt w:val="lowerLetter"/>
      <w:lvlText w:val="%2."/>
      <w:lvlJc w:val="left"/>
      <w:pPr>
        <w:ind w:left="3671" w:hanging="360"/>
      </w:pPr>
    </w:lvl>
    <w:lvl w:ilvl="2" w:tplc="0809001B" w:tentative="1">
      <w:start w:val="1"/>
      <w:numFmt w:val="lowerRoman"/>
      <w:lvlText w:val="%3."/>
      <w:lvlJc w:val="right"/>
      <w:pPr>
        <w:ind w:left="4391" w:hanging="180"/>
      </w:pPr>
    </w:lvl>
    <w:lvl w:ilvl="3" w:tplc="0809000F" w:tentative="1">
      <w:start w:val="1"/>
      <w:numFmt w:val="decimal"/>
      <w:lvlText w:val="%4."/>
      <w:lvlJc w:val="left"/>
      <w:pPr>
        <w:ind w:left="5111" w:hanging="360"/>
      </w:pPr>
    </w:lvl>
    <w:lvl w:ilvl="4" w:tplc="08090019" w:tentative="1">
      <w:start w:val="1"/>
      <w:numFmt w:val="lowerLetter"/>
      <w:lvlText w:val="%5."/>
      <w:lvlJc w:val="left"/>
      <w:pPr>
        <w:ind w:left="5831" w:hanging="360"/>
      </w:pPr>
    </w:lvl>
    <w:lvl w:ilvl="5" w:tplc="0809001B" w:tentative="1">
      <w:start w:val="1"/>
      <w:numFmt w:val="lowerRoman"/>
      <w:lvlText w:val="%6."/>
      <w:lvlJc w:val="right"/>
      <w:pPr>
        <w:ind w:left="6551" w:hanging="180"/>
      </w:pPr>
    </w:lvl>
    <w:lvl w:ilvl="6" w:tplc="0809000F" w:tentative="1">
      <w:start w:val="1"/>
      <w:numFmt w:val="decimal"/>
      <w:lvlText w:val="%7."/>
      <w:lvlJc w:val="left"/>
      <w:pPr>
        <w:ind w:left="7271" w:hanging="360"/>
      </w:pPr>
    </w:lvl>
    <w:lvl w:ilvl="7" w:tplc="08090019" w:tentative="1">
      <w:start w:val="1"/>
      <w:numFmt w:val="lowerLetter"/>
      <w:lvlText w:val="%8."/>
      <w:lvlJc w:val="left"/>
      <w:pPr>
        <w:ind w:left="7991" w:hanging="360"/>
      </w:pPr>
    </w:lvl>
    <w:lvl w:ilvl="8" w:tplc="0809001B" w:tentative="1">
      <w:start w:val="1"/>
      <w:numFmt w:val="lowerRoman"/>
      <w:lvlText w:val="%9."/>
      <w:lvlJc w:val="right"/>
      <w:pPr>
        <w:ind w:left="871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E3176A6"/>
    <w:multiLevelType w:val="hybridMultilevel"/>
    <w:tmpl w:val="31E47250"/>
    <w:lvl w:ilvl="0" w:tplc="B898436E">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15" w15:restartNumberingAfterBreak="0">
    <w:nsid w:val="3175020F"/>
    <w:multiLevelType w:val="multilevel"/>
    <w:tmpl w:val="8D4641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4A54A10"/>
    <w:multiLevelType w:val="hybridMultilevel"/>
    <w:tmpl w:val="048A73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18" w15:restartNumberingAfterBreak="0">
    <w:nsid w:val="3A5A4F79"/>
    <w:multiLevelType w:val="hybridMultilevel"/>
    <w:tmpl w:val="9F6A3FC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lvl>
    <w:lvl w:ilvl="8" w:tplc="EAE4C026">
      <w:start w:val="1"/>
      <w:numFmt w:val="lowerRoman"/>
      <w:lvlText w:val="%9)"/>
      <w:lvlJc w:val="left"/>
      <w:pPr>
        <w:ind w:left="8531" w:hanging="360"/>
      </w:pPr>
    </w:lvl>
  </w:abstractNum>
  <w:abstractNum w:abstractNumId="19" w15:restartNumberingAfterBreak="0">
    <w:nsid w:val="433D40C4"/>
    <w:multiLevelType w:val="hybridMultilevel"/>
    <w:tmpl w:val="CCB84F3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0" w15:restartNumberingAfterBreak="0">
    <w:nsid w:val="453C56D3"/>
    <w:multiLevelType w:val="hybridMultilevel"/>
    <w:tmpl w:val="82C441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43C402D"/>
    <w:multiLevelType w:val="hybridMultilevel"/>
    <w:tmpl w:val="70DC4C7E"/>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3" w15:restartNumberingAfterBreak="0">
    <w:nsid w:val="551B23CB"/>
    <w:multiLevelType w:val="hybridMultilevel"/>
    <w:tmpl w:val="0AE0975A"/>
    <w:lvl w:ilvl="0" w:tplc="8B7CAA4E">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24" w15:restartNumberingAfterBreak="0">
    <w:nsid w:val="5774448A"/>
    <w:multiLevelType w:val="hybridMultilevel"/>
    <w:tmpl w:val="9460B49A"/>
    <w:lvl w:ilvl="0" w:tplc="7026D55A">
      <w:start w:val="1"/>
      <w:numFmt w:val="decimal"/>
      <w:lvlText w:val="%1."/>
      <w:lvlJc w:val="left"/>
      <w:pPr>
        <w:ind w:left="1871" w:hanging="624"/>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25" w15:restartNumberingAfterBreak="0">
    <w:nsid w:val="5EC86C9E"/>
    <w:multiLevelType w:val="hybridMultilevel"/>
    <w:tmpl w:val="83445148"/>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6" w15:restartNumberingAfterBreak="0">
    <w:nsid w:val="64C77591"/>
    <w:multiLevelType w:val="hybridMultilevel"/>
    <w:tmpl w:val="F0D4A11E"/>
    <w:lvl w:ilvl="0" w:tplc="0809000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27" w15:restartNumberingAfterBreak="0">
    <w:nsid w:val="69B93D4C"/>
    <w:multiLevelType w:val="hybridMultilevel"/>
    <w:tmpl w:val="7FA8E7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8" w15:restartNumberingAfterBreak="0">
    <w:nsid w:val="6DFD435B"/>
    <w:multiLevelType w:val="hybridMultilevel"/>
    <w:tmpl w:val="5B7C05B4"/>
    <w:lvl w:ilvl="0" w:tplc="348ADCCC">
      <w:start w:val="1"/>
      <w:numFmt w:val="decimal"/>
      <w:lvlText w:val="%1."/>
      <w:lvlJc w:val="left"/>
      <w:pPr>
        <w:ind w:left="2591" w:hanging="360"/>
      </w:pPr>
      <w:rPr>
        <w:i w:val="0"/>
        <w:iCs w:val="0"/>
        <w:sz w:val="20"/>
        <w:szCs w:val="20"/>
      </w:r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72222C2"/>
    <w:multiLevelType w:val="hybridMultilevel"/>
    <w:tmpl w:val="8B466AD2"/>
    <w:lvl w:ilvl="0" w:tplc="E90C2846">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31" w15:restartNumberingAfterBreak="0">
    <w:nsid w:val="7E3927D4"/>
    <w:multiLevelType w:val="hybridMultilevel"/>
    <w:tmpl w:val="30E2D338"/>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start w:val="1"/>
      <w:numFmt w:val="lowerLetter"/>
      <w:lvlText w:val="%8."/>
      <w:lvlJc w:val="left"/>
      <w:pPr>
        <w:ind w:left="7007" w:hanging="360"/>
      </w:pPr>
    </w:lvl>
    <w:lvl w:ilvl="8" w:tplc="0809001B">
      <w:start w:val="1"/>
      <w:numFmt w:val="lowerRoman"/>
      <w:lvlText w:val="%9."/>
      <w:lvlJc w:val="right"/>
      <w:pPr>
        <w:ind w:left="7727" w:hanging="180"/>
      </w:pPr>
    </w:lvl>
  </w:abstractNum>
  <w:num w:numId="1" w16cid:durableId="560672902">
    <w:abstractNumId w:val="21"/>
  </w:num>
  <w:num w:numId="2" w16cid:durableId="1242644713">
    <w:abstractNumId w:val="29"/>
  </w:num>
  <w:num w:numId="3" w16cid:durableId="1933662228">
    <w:abstractNumId w:val="16"/>
  </w:num>
  <w:num w:numId="4" w16cid:durableId="1991909117">
    <w:abstractNumId w:val="10"/>
  </w:num>
  <w:num w:numId="5" w16cid:durableId="1138956019">
    <w:abstractNumId w:val="13"/>
  </w:num>
  <w:num w:numId="6" w16cid:durableId="1600872914">
    <w:abstractNumId w:val="9"/>
  </w:num>
  <w:num w:numId="7" w16cid:durableId="1095246221">
    <w:abstractNumId w:val="7"/>
  </w:num>
  <w:num w:numId="8" w16cid:durableId="417873513">
    <w:abstractNumId w:val="6"/>
  </w:num>
  <w:num w:numId="9" w16cid:durableId="160436910">
    <w:abstractNumId w:val="5"/>
  </w:num>
  <w:num w:numId="10" w16cid:durableId="493687160">
    <w:abstractNumId w:val="4"/>
  </w:num>
  <w:num w:numId="11" w16cid:durableId="1393845506">
    <w:abstractNumId w:val="8"/>
  </w:num>
  <w:num w:numId="12" w16cid:durableId="816149849">
    <w:abstractNumId w:val="3"/>
  </w:num>
  <w:num w:numId="13" w16cid:durableId="591351681">
    <w:abstractNumId w:val="2"/>
  </w:num>
  <w:num w:numId="14" w16cid:durableId="1466659357">
    <w:abstractNumId w:val="1"/>
  </w:num>
  <w:num w:numId="15" w16cid:durableId="1690794981">
    <w:abstractNumId w:val="0"/>
  </w:num>
  <w:num w:numId="16" w16cid:durableId="3837228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4570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024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65294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7592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5136080">
    <w:abstractNumId w:val="18"/>
  </w:num>
  <w:num w:numId="22" w16cid:durableId="4746393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11514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46916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5900357">
    <w:abstractNumId w:val="17"/>
  </w:num>
  <w:num w:numId="26" w16cid:durableId="1982078180">
    <w:abstractNumId w:val="11"/>
  </w:num>
  <w:num w:numId="27" w16cid:durableId="1193223065">
    <w:abstractNumId w:val="14"/>
  </w:num>
  <w:num w:numId="28" w16cid:durableId="2136680916">
    <w:abstractNumId w:val="25"/>
  </w:num>
  <w:num w:numId="29" w16cid:durableId="1067075716">
    <w:abstractNumId w:val="23"/>
  </w:num>
  <w:num w:numId="30" w16cid:durableId="2095399181">
    <w:abstractNumId w:val="22"/>
  </w:num>
  <w:num w:numId="31" w16cid:durableId="1550074306">
    <w:abstractNumId w:val="30"/>
  </w:num>
  <w:num w:numId="32" w16cid:durableId="1892038190">
    <w:abstractNumId w:val="24"/>
  </w:num>
  <w:num w:numId="33" w16cid:durableId="148480773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s-ES_tradnl"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49"/>
    <w:rsid w:val="000005EC"/>
    <w:rsid w:val="00000E4A"/>
    <w:rsid w:val="00004008"/>
    <w:rsid w:val="000149E6"/>
    <w:rsid w:val="00016AF3"/>
    <w:rsid w:val="00017D25"/>
    <w:rsid w:val="000208C8"/>
    <w:rsid w:val="000247B0"/>
    <w:rsid w:val="00026997"/>
    <w:rsid w:val="00033E0B"/>
    <w:rsid w:val="00034795"/>
    <w:rsid w:val="00035EDE"/>
    <w:rsid w:val="000407A7"/>
    <w:rsid w:val="00043465"/>
    <w:rsid w:val="000509B4"/>
    <w:rsid w:val="000569F3"/>
    <w:rsid w:val="00056B2C"/>
    <w:rsid w:val="0006035B"/>
    <w:rsid w:val="00064CB2"/>
    <w:rsid w:val="00067462"/>
    <w:rsid w:val="00070E09"/>
    <w:rsid w:val="0007166E"/>
    <w:rsid w:val="00071886"/>
    <w:rsid w:val="000742BC"/>
    <w:rsid w:val="0008041D"/>
    <w:rsid w:val="00082A0C"/>
    <w:rsid w:val="00082DCD"/>
    <w:rsid w:val="00083504"/>
    <w:rsid w:val="0008710B"/>
    <w:rsid w:val="00092264"/>
    <w:rsid w:val="00095D65"/>
    <w:rsid w:val="0009640C"/>
    <w:rsid w:val="000B0DA1"/>
    <w:rsid w:val="000B21D5"/>
    <w:rsid w:val="000B22A2"/>
    <w:rsid w:val="000C2A52"/>
    <w:rsid w:val="000C37E6"/>
    <w:rsid w:val="000C46A9"/>
    <w:rsid w:val="000D33C0"/>
    <w:rsid w:val="000D5884"/>
    <w:rsid w:val="000D6941"/>
    <w:rsid w:val="000D6C01"/>
    <w:rsid w:val="000D71B6"/>
    <w:rsid w:val="000E0405"/>
    <w:rsid w:val="000E5F6A"/>
    <w:rsid w:val="000F1671"/>
    <w:rsid w:val="000F388E"/>
    <w:rsid w:val="000F6CFF"/>
    <w:rsid w:val="000F779B"/>
    <w:rsid w:val="001113C8"/>
    <w:rsid w:val="001148F0"/>
    <w:rsid w:val="00115F73"/>
    <w:rsid w:val="001202E3"/>
    <w:rsid w:val="00123699"/>
    <w:rsid w:val="0013059D"/>
    <w:rsid w:val="00134E06"/>
    <w:rsid w:val="00136376"/>
    <w:rsid w:val="001404A8"/>
    <w:rsid w:val="0014083A"/>
    <w:rsid w:val="00141A55"/>
    <w:rsid w:val="00141F2F"/>
    <w:rsid w:val="001446A3"/>
    <w:rsid w:val="001464D5"/>
    <w:rsid w:val="00152D56"/>
    <w:rsid w:val="0015306F"/>
    <w:rsid w:val="00155395"/>
    <w:rsid w:val="0016204C"/>
    <w:rsid w:val="00164569"/>
    <w:rsid w:val="00171899"/>
    <w:rsid w:val="00172E6C"/>
    <w:rsid w:val="00173D27"/>
    <w:rsid w:val="00174739"/>
    <w:rsid w:val="0017601E"/>
    <w:rsid w:val="00176D9F"/>
    <w:rsid w:val="0018127C"/>
    <w:rsid w:val="00181EC8"/>
    <w:rsid w:val="00181FC0"/>
    <w:rsid w:val="00184349"/>
    <w:rsid w:val="00184CBE"/>
    <w:rsid w:val="00186046"/>
    <w:rsid w:val="0018775E"/>
    <w:rsid w:val="0019161E"/>
    <w:rsid w:val="0019560A"/>
    <w:rsid w:val="00195F33"/>
    <w:rsid w:val="00197C63"/>
    <w:rsid w:val="001A47D8"/>
    <w:rsid w:val="001A54AD"/>
    <w:rsid w:val="001A5790"/>
    <w:rsid w:val="001A5EE1"/>
    <w:rsid w:val="001A7FF9"/>
    <w:rsid w:val="001B1617"/>
    <w:rsid w:val="001B39F1"/>
    <w:rsid w:val="001B504B"/>
    <w:rsid w:val="001B7D09"/>
    <w:rsid w:val="001C29FC"/>
    <w:rsid w:val="001C5EBA"/>
    <w:rsid w:val="001D3874"/>
    <w:rsid w:val="001D5344"/>
    <w:rsid w:val="001D7E75"/>
    <w:rsid w:val="001E22D1"/>
    <w:rsid w:val="001E2DEE"/>
    <w:rsid w:val="001E56D2"/>
    <w:rsid w:val="001E60AD"/>
    <w:rsid w:val="001E7D56"/>
    <w:rsid w:val="001E7E93"/>
    <w:rsid w:val="001F239C"/>
    <w:rsid w:val="001F24C1"/>
    <w:rsid w:val="001F75DE"/>
    <w:rsid w:val="00200D58"/>
    <w:rsid w:val="002013BE"/>
    <w:rsid w:val="00203C6B"/>
    <w:rsid w:val="00205B14"/>
    <w:rsid w:val="00205C9E"/>
    <w:rsid w:val="002063A4"/>
    <w:rsid w:val="00206F97"/>
    <w:rsid w:val="0021145B"/>
    <w:rsid w:val="00214277"/>
    <w:rsid w:val="00225EBF"/>
    <w:rsid w:val="0022762D"/>
    <w:rsid w:val="00232303"/>
    <w:rsid w:val="00234806"/>
    <w:rsid w:val="002378D6"/>
    <w:rsid w:val="00241479"/>
    <w:rsid w:val="00243D36"/>
    <w:rsid w:val="00247707"/>
    <w:rsid w:val="0025157F"/>
    <w:rsid w:val="00263171"/>
    <w:rsid w:val="0026394D"/>
    <w:rsid w:val="00270159"/>
    <w:rsid w:val="00277919"/>
    <w:rsid w:val="00286740"/>
    <w:rsid w:val="00287B42"/>
    <w:rsid w:val="002929D8"/>
    <w:rsid w:val="002935C2"/>
    <w:rsid w:val="002A237D"/>
    <w:rsid w:val="002A28DB"/>
    <w:rsid w:val="002A4C53"/>
    <w:rsid w:val="002A6493"/>
    <w:rsid w:val="002B0672"/>
    <w:rsid w:val="002B1B4C"/>
    <w:rsid w:val="002B247F"/>
    <w:rsid w:val="002C02BA"/>
    <w:rsid w:val="002C145D"/>
    <w:rsid w:val="002C2C3E"/>
    <w:rsid w:val="002C533E"/>
    <w:rsid w:val="002C5525"/>
    <w:rsid w:val="002D027F"/>
    <w:rsid w:val="002D2394"/>
    <w:rsid w:val="002D7A85"/>
    <w:rsid w:val="002D7B60"/>
    <w:rsid w:val="002E19D4"/>
    <w:rsid w:val="002E4FF8"/>
    <w:rsid w:val="002F0362"/>
    <w:rsid w:val="002F0CD0"/>
    <w:rsid w:val="002F1AF9"/>
    <w:rsid w:val="002F4761"/>
    <w:rsid w:val="002F48CE"/>
    <w:rsid w:val="002F5C79"/>
    <w:rsid w:val="003019E2"/>
    <w:rsid w:val="00306E1A"/>
    <w:rsid w:val="0031413F"/>
    <w:rsid w:val="003148B7"/>
    <w:rsid w:val="003148BB"/>
    <w:rsid w:val="00317976"/>
    <w:rsid w:val="00323885"/>
    <w:rsid w:val="00331475"/>
    <w:rsid w:val="00337E30"/>
    <w:rsid w:val="00343AB4"/>
    <w:rsid w:val="00351096"/>
    <w:rsid w:val="00351A93"/>
    <w:rsid w:val="00355EA9"/>
    <w:rsid w:val="003578DE"/>
    <w:rsid w:val="0036070E"/>
    <w:rsid w:val="00360B50"/>
    <w:rsid w:val="003640DF"/>
    <w:rsid w:val="003656C0"/>
    <w:rsid w:val="00365F6B"/>
    <w:rsid w:val="00370BF9"/>
    <w:rsid w:val="00371340"/>
    <w:rsid w:val="00374A40"/>
    <w:rsid w:val="003759E2"/>
    <w:rsid w:val="003840AB"/>
    <w:rsid w:val="00385346"/>
    <w:rsid w:val="00386999"/>
    <w:rsid w:val="0038769D"/>
    <w:rsid w:val="00390145"/>
    <w:rsid w:val="00392EA8"/>
    <w:rsid w:val="00394379"/>
    <w:rsid w:val="00394B70"/>
    <w:rsid w:val="00395C17"/>
    <w:rsid w:val="00396257"/>
    <w:rsid w:val="00397EB8"/>
    <w:rsid w:val="003A07AB"/>
    <w:rsid w:val="003A086E"/>
    <w:rsid w:val="003A102F"/>
    <w:rsid w:val="003A2145"/>
    <w:rsid w:val="003A37B8"/>
    <w:rsid w:val="003A4FD0"/>
    <w:rsid w:val="003A69D1"/>
    <w:rsid w:val="003A7705"/>
    <w:rsid w:val="003B1545"/>
    <w:rsid w:val="003B3018"/>
    <w:rsid w:val="003B3A0A"/>
    <w:rsid w:val="003B71B5"/>
    <w:rsid w:val="003C035E"/>
    <w:rsid w:val="003C29E5"/>
    <w:rsid w:val="003C3267"/>
    <w:rsid w:val="003C3529"/>
    <w:rsid w:val="003C409D"/>
    <w:rsid w:val="003C4296"/>
    <w:rsid w:val="003C5BA6"/>
    <w:rsid w:val="003D2A8F"/>
    <w:rsid w:val="003D6899"/>
    <w:rsid w:val="003E0778"/>
    <w:rsid w:val="003F0E85"/>
    <w:rsid w:val="003F6BB4"/>
    <w:rsid w:val="003F72C3"/>
    <w:rsid w:val="00403B64"/>
    <w:rsid w:val="00403BC1"/>
    <w:rsid w:val="00404CB5"/>
    <w:rsid w:val="00405251"/>
    <w:rsid w:val="00410C55"/>
    <w:rsid w:val="00410CA8"/>
    <w:rsid w:val="0041604D"/>
    <w:rsid w:val="00416854"/>
    <w:rsid w:val="00417725"/>
    <w:rsid w:val="0041779A"/>
    <w:rsid w:val="00417B99"/>
    <w:rsid w:val="00423F93"/>
    <w:rsid w:val="004243EA"/>
    <w:rsid w:val="00424567"/>
    <w:rsid w:val="00427208"/>
    <w:rsid w:val="00430EE1"/>
    <w:rsid w:val="00432482"/>
    <w:rsid w:val="00437F26"/>
    <w:rsid w:val="00444097"/>
    <w:rsid w:val="00445487"/>
    <w:rsid w:val="004472E7"/>
    <w:rsid w:val="004521A1"/>
    <w:rsid w:val="00454769"/>
    <w:rsid w:val="00455892"/>
    <w:rsid w:val="00456D58"/>
    <w:rsid w:val="00466991"/>
    <w:rsid w:val="0047064C"/>
    <w:rsid w:val="00474D90"/>
    <w:rsid w:val="00477AFF"/>
    <w:rsid w:val="00481F0B"/>
    <w:rsid w:val="0048344D"/>
    <w:rsid w:val="00491F1F"/>
    <w:rsid w:val="00495BFE"/>
    <w:rsid w:val="004A0A3D"/>
    <w:rsid w:val="004A1D5E"/>
    <w:rsid w:val="004A2DC9"/>
    <w:rsid w:val="004A42E1"/>
    <w:rsid w:val="004B162C"/>
    <w:rsid w:val="004C3DBE"/>
    <w:rsid w:val="004C5C96"/>
    <w:rsid w:val="004C6246"/>
    <w:rsid w:val="004C6941"/>
    <w:rsid w:val="004C6FDF"/>
    <w:rsid w:val="004D06A4"/>
    <w:rsid w:val="004D60EA"/>
    <w:rsid w:val="004E05EB"/>
    <w:rsid w:val="004E1465"/>
    <w:rsid w:val="004E3250"/>
    <w:rsid w:val="004E59D4"/>
    <w:rsid w:val="004E7190"/>
    <w:rsid w:val="004E79AC"/>
    <w:rsid w:val="004F1A81"/>
    <w:rsid w:val="004F3614"/>
    <w:rsid w:val="004F44E8"/>
    <w:rsid w:val="004F7CBC"/>
    <w:rsid w:val="00506ED8"/>
    <w:rsid w:val="00514310"/>
    <w:rsid w:val="00520D52"/>
    <w:rsid w:val="005218D9"/>
    <w:rsid w:val="00524052"/>
    <w:rsid w:val="00532E47"/>
    <w:rsid w:val="00536186"/>
    <w:rsid w:val="00536576"/>
    <w:rsid w:val="00536826"/>
    <w:rsid w:val="00540168"/>
    <w:rsid w:val="00544CBB"/>
    <w:rsid w:val="00546574"/>
    <w:rsid w:val="00550518"/>
    <w:rsid w:val="00550BD2"/>
    <w:rsid w:val="00552CD6"/>
    <w:rsid w:val="005667F6"/>
    <w:rsid w:val="0057315F"/>
    <w:rsid w:val="00575DF1"/>
    <w:rsid w:val="00576104"/>
    <w:rsid w:val="00576D39"/>
    <w:rsid w:val="0058028B"/>
    <w:rsid w:val="0058095E"/>
    <w:rsid w:val="00583313"/>
    <w:rsid w:val="00585461"/>
    <w:rsid w:val="00591B03"/>
    <w:rsid w:val="005940BC"/>
    <w:rsid w:val="00594BA0"/>
    <w:rsid w:val="005A1B49"/>
    <w:rsid w:val="005A2DCD"/>
    <w:rsid w:val="005B0CF0"/>
    <w:rsid w:val="005B503D"/>
    <w:rsid w:val="005B6935"/>
    <w:rsid w:val="005C67C8"/>
    <w:rsid w:val="005D0249"/>
    <w:rsid w:val="005D170D"/>
    <w:rsid w:val="005D6E8C"/>
    <w:rsid w:val="005E0C21"/>
    <w:rsid w:val="005E2569"/>
    <w:rsid w:val="005F0ECD"/>
    <w:rsid w:val="005F100C"/>
    <w:rsid w:val="005F3FF1"/>
    <w:rsid w:val="005F68DA"/>
    <w:rsid w:val="005F75E6"/>
    <w:rsid w:val="00600B3D"/>
    <w:rsid w:val="006014DD"/>
    <w:rsid w:val="00602F16"/>
    <w:rsid w:val="0060773B"/>
    <w:rsid w:val="00607D42"/>
    <w:rsid w:val="00607D94"/>
    <w:rsid w:val="00611BC7"/>
    <w:rsid w:val="006157B5"/>
    <w:rsid w:val="00617D5C"/>
    <w:rsid w:val="006226CE"/>
    <w:rsid w:val="00626FC6"/>
    <w:rsid w:val="006272F3"/>
    <w:rsid w:val="006303B4"/>
    <w:rsid w:val="00630F42"/>
    <w:rsid w:val="00633CEB"/>
    <w:rsid w:val="00633D3D"/>
    <w:rsid w:val="00633F3A"/>
    <w:rsid w:val="00634A7E"/>
    <w:rsid w:val="0063617C"/>
    <w:rsid w:val="00641703"/>
    <w:rsid w:val="006431A6"/>
    <w:rsid w:val="006459F6"/>
    <w:rsid w:val="006501AD"/>
    <w:rsid w:val="00651BFA"/>
    <w:rsid w:val="006533B3"/>
    <w:rsid w:val="00663A80"/>
    <w:rsid w:val="00665A4B"/>
    <w:rsid w:val="00671426"/>
    <w:rsid w:val="00671517"/>
    <w:rsid w:val="00671B7B"/>
    <w:rsid w:val="006731FE"/>
    <w:rsid w:val="006819D8"/>
    <w:rsid w:val="00682DA8"/>
    <w:rsid w:val="00683305"/>
    <w:rsid w:val="0068427F"/>
    <w:rsid w:val="00692967"/>
    <w:rsid w:val="00692E2A"/>
    <w:rsid w:val="006A1752"/>
    <w:rsid w:val="006A2AA5"/>
    <w:rsid w:val="006A58B1"/>
    <w:rsid w:val="006A76F2"/>
    <w:rsid w:val="006C3DDA"/>
    <w:rsid w:val="006D3277"/>
    <w:rsid w:val="006D76BA"/>
    <w:rsid w:val="006D7EFB"/>
    <w:rsid w:val="006E5EE9"/>
    <w:rsid w:val="006E6672"/>
    <w:rsid w:val="006E6722"/>
    <w:rsid w:val="006F10F1"/>
    <w:rsid w:val="006F1C73"/>
    <w:rsid w:val="006F7167"/>
    <w:rsid w:val="007027B9"/>
    <w:rsid w:val="00704DDA"/>
    <w:rsid w:val="00713D8F"/>
    <w:rsid w:val="00715570"/>
    <w:rsid w:val="00715E88"/>
    <w:rsid w:val="007219AE"/>
    <w:rsid w:val="00724E06"/>
    <w:rsid w:val="0072508B"/>
    <w:rsid w:val="00732257"/>
    <w:rsid w:val="00734CAA"/>
    <w:rsid w:val="00736583"/>
    <w:rsid w:val="007400E5"/>
    <w:rsid w:val="0074617F"/>
    <w:rsid w:val="0075473A"/>
    <w:rsid w:val="00755106"/>
    <w:rsid w:val="0075533C"/>
    <w:rsid w:val="00755E2D"/>
    <w:rsid w:val="00757581"/>
    <w:rsid w:val="00760DBC"/>
    <w:rsid w:val="007611A0"/>
    <w:rsid w:val="00763B88"/>
    <w:rsid w:val="007658A0"/>
    <w:rsid w:val="00771992"/>
    <w:rsid w:val="00772BFB"/>
    <w:rsid w:val="007777CF"/>
    <w:rsid w:val="00783907"/>
    <w:rsid w:val="00783980"/>
    <w:rsid w:val="00795D95"/>
    <w:rsid w:val="00796D3F"/>
    <w:rsid w:val="007973BE"/>
    <w:rsid w:val="007A1683"/>
    <w:rsid w:val="007A36F8"/>
    <w:rsid w:val="007A5C12"/>
    <w:rsid w:val="007A5E3B"/>
    <w:rsid w:val="007A7CB0"/>
    <w:rsid w:val="007B4239"/>
    <w:rsid w:val="007B68A3"/>
    <w:rsid w:val="007B7321"/>
    <w:rsid w:val="007C2541"/>
    <w:rsid w:val="007C5DB1"/>
    <w:rsid w:val="007D0EE6"/>
    <w:rsid w:val="007D66A8"/>
    <w:rsid w:val="007D773D"/>
    <w:rsid w:val="007E003F"/>
    <w:rsid w:val="007E5B5B"/>
    <w:rsid w:val="007E7413"/>
    <w:rsid w:val="007F0F27"/>
    <w:rsid w:val="007F4E8D"/>
    <w:rsid w:val="008012B4"/>
    <w:rsid w:val="00802E72"/>
    <w:rsid w:val="00805F1D"/>
    <w:rsid w:val="00815CD7"/>
    <w:rsid w:val="008164F2"/>
    <w:rsid w:val="00821395"/>
    <w:rsid w:val="00830E26"/>
    <w:rsid w:val="00831CD8"/>
    <w:rsid w:val="00843576"/>
    <w:rsid w:val="00843B64"/>
    <w:rsid w:val="00844E67"/>
    <w:rsid w:val="008470BD"/>
    <w:rsid w:val="008478FC"/>
    <w:rsid w:val="008532B4"/>
    <w:rsid w:val="008606B1"/>
    <w:rsid w:val="00865E8D"/>
    <w:rsid w:val="00867BFF"/>
    <w:rsid w:val="0088480A"/>
    <w:rsid w:val="0088757A"/>
    <w:rsid w:val="008876D5"/>
    <w:rsid w:val="008904EF"/>
    <w:rsid w:val="00893886"/>
    <w:rsid w:val="008957DD"/>
    <w:rsid w:val="00897D98"/>
    <w:rsid w:val="008A07F3"/>
    <w:rsid w:val="008A26B4"/>
    <w:rsid w:val="008A6DF2"/>
    <w:rsid w:val="008A7807"/>
    <w:rsid w:val="008B0D6B"/>
    <w:rsid w:val="008B1C93"/>
    <w:rsid w:val="008B3832"/>
    <w:rsid w:val="008B4CC9"/>
    <w:rsid w:val="008C13F0"/>
    <w:rsid w:val="008C1B8B"/>
    <w:rsid w:val="008C2D78"/>
    <w:rsid w:val="008D3AE0"/>
    <w:rsid w:val="008D6A30"/>
    <w:rsid w:val="008D7C99"/>
    <w:rsid w:val="008E0FCB"/>
    <w:rsid w:val="008E75FE"/>
    <w:rsid w:val="00905501"/>
    <w:rsid w:val="00907D78"/>
    <w:rsid w:val="0092178C"/>
    <w:rsid w:val="00923265"/>
    <w:rsid w:val="0092493F"/>
    <w:rsid w:val="00930B88"/>
    <w:rsid w:val="00935D59"/>
    <w:rsid w:val="009378DC"/>
    <w:rsid w:val="00940DCC"/>
    <w:rsid w:val="0094179A"/>
    <w:rsid w:val="0094459E"/>
    <w:rsid w:val="00944DBC"/>
    <w:rsid w:val="00950977"/>
    <w:rsid w:val="00951A7B"/>
    <w:rsid w:val="009564A6"/>
    <w:rsid w:val="00956FA3"/>
    <w:rsid w:val="00961A33"/>
    <w:rsid w:val="009628A0"/>
    <w:rsid w:val="009628B9"/>
    <w:rsid w:val="00962A0C"/>
    <w:rsid w:val="00967621"/>
    <w:rsid w:val="00967E6A"/>
    <w:rsid w:val="00980797"/>
    <w:rsid w:val="00992BF5"/>
    <w:rsid w:val="009935AC"/>
    <w:rsid w:val="009A23FE"/>
    <w:rsid w:val="009A6054"/>
    <w:rsid w:val="009B264D"/>
    <w:rsid w:val="009B3463"/>
    <w:rsid w:val="009B4A0F"/>
    <w:rsid w:val="009C0FEC"/>
    <w:rsid w:val="009C11D2"/>
    <w:rsid w:val="009C6C70"/>
    <w:rsid w:val="009C7CB1"/>
    <w:rsid w:val="009D0922"/>
    <w:rsid w:val="009D0B63"/>
    <w:rsid w:val="009D68BC"/>
    <w:rsid w:val="009E0BB3"/>
    <w:rsid w:val="009E1A50"/>
    <w:rsid w:val="009E307E"/>
    <w:rsid w:val="009E47E3"/>
    <w:rsid w:val="009F68B9"/>
    <w:rsid w:val="00A00491"/>
    <w:rsid w:val="00A01AD1"/>
    <w:rsid w:val="00A03A4A"/>
    <w:rsid w:val="00A05AAE"/>
    <w:rsid w:val="00A07870"/>
    <w:rsid w:val="00A07F19"/>
    <w:rsid w:val="00A1348D"/>
    <w:rsid w:val="00A142D1"/>
    <w:rsid w:val="00A1489E"/>
    <w:rsid w:val="00A15F18"/>
    <w:rsid w:val="00A232EE"/>
    <w:rsid w:val="00A24CB2"/>
    <w:rsid w:val="00A275E0"/>
    <w:rsid w:val="00A334B2"/>
    <w:rsid w:val="00A35105"/>
    <w:rsid w:val="00A4175F"/>
    <w:rsid w:val="00A423F1"/>
    <w:rsid w:val="00A44411"/>
    <w:rsid w:val="00A469FA"/>
    <w:rsid w:val="00A50E94"/>
    <w:rsid w:val="00A55380"/>
    <w:rsid w:val="00A55B01"/>
    <w:rsid w:val="00A56B5B"/>
    <w:rsid w:val="00A603FF"/>
    <w:rsid w:val="00A60D58"/>
    <w:rsid w:val="00A657DD"/>
    <w:rsid w:val="00A666A6"/>
    <w:rsid w:val="00A675FD"/>
    <w:rsid w:val="00A713FE"/>
    <w:rsid w:val="00A72437"/>
    <w:rsid w:val="00A75424"/>
    <w:rsid w:val="00A80611"/>
    <w:rsid w:val="00A80BD7"/>
    <w:rsid w:val="00A81F2B"/>
    <w:rsid w:val="00A84B15"/>
    <w:rsid w:val="00A87016"/>
    <w:rsid w:val="00A96229"/>
    <w:rsid w:val="00AB1F69"/>
    <w:rsid w:val="00AB39DC"/>
    <w:rsid w:val="00AB5340"/>
    <w:rsid w:val="00AC010E"/>
    <w:rsid w:val="00AC01CC"/>
    <w:rsid w:val="00AC16B8"/>
    <w:rsid w:val="00AC436F"/>
    <w:rsid w:val="00AC7C96"/>
    <w:rsid w:val="00AD2DBC"/>
    <w:rsid w:val="00AE04AF"/>
    <w:rsid w:val="00AE237D"/>
    <w:rsid w:val="00AE2A3D"/>
    <w:rsid w:val="00AE43C0"/>
    <w:rsid w:val="00AE502A"/>
    <w:rsid w:val="00AF007E"/>
    <w:rsid w:val="00AF0DF7"/>
    <w:rsid w:val="00AF7C07"/>
    <w:rsid w:val="00B04DF3"/>
    <w:rsid w:val="00B07AAA"/>
    <w:rsid w:val="00B22C93"/>
    <w:rsid w:val="00B27589"/>
    <w:rsid w:val="00B31852"/>
    <w:rsid w:val="00B37EF9"/>
    <w:rsid w:val="00B405B7"/>
    <w:rsid w:val="00B40FCD"/>
    <w:rsid w:val="00B45E6D"/>
    <w:rsid w:val="00B47530"/>
    <w:rsid w:val="00B52222"/>
    <w:rsid w:val="00B523A2"/>
    <w:rsid w:val="00B54EA5"/>
    <w:rsid w:val="00B54FE7"/>
    <w:rsid w:val="00B57AED"/>
    <w:rsid w:val="00B57C47"/>
    <w:rsid w:val="00B62D12"/>
    <w:rsid w:val="00B66901"/>
    <w:rsid w:val="00B71E6D"/>
    <w:rsid w:val="00B72070"/>
    <w:rsid w:val="00B779E1"/>
    <w:rsid w:val="00B8136C"/>
    <w:rsid w:val="00B84488"/>
    <w:rsid w:val="00B859A3"/>
    <w:rsid w:val="00B91EE1"/>
    <w:rsid w:val="00B96B66"/>
    <w:rsid w:val="00BA0090"/>
    <w:rsid w:val="00BA1A67"/>
    <w:rsid w:val="00BB0922"/>
    <w:rsid w:val="00BB0E51"/>
    <w:rsid w:val="00BB49DE"/>
    <w:rsid w:val="00BC07FE"/>
    <w:rsid w:val="00BC2ED6"/>
    <w:rsid w:val="00BD0163"/>
    <w:rsid w:val="00BD159E"/>
    <w:rsid w:val="00BD2567"/>
    <w:rsid w:val="00BD72DE"/>
    <w:rsid w:val="00BE5B5F"/>
    <w:rsid w:val="00BF0172"/>
    <w:rsid w:val="00BF7790"/>
    <w:rsid w:val="00C112B4"/>
    <w:rsid w:val="00C117B8"/>
    <w:rsid w:val="00C1357B"/>
    <w:rsid w:val="00C25458"/>
    <w:rsid w:val="00C26F55"/>
    <w:rsid w:val="00C30C63"/>
    <w:rsid w:val="00C32B37"/>
    <w:rsid w:val="00C34971"/>
    <w:rsid w:val="00C36012"/>
    <w:rsid w:val="00C36B8B"/>
    <w:rsid w:val="00C41A02"/>
    <w:rsid w:val="00C459B1"/>
    <w:rsid w:val="00C47DBF"/>
    <w:rsid w:val="00C53114"/>
    <w:rsid w:val="00C53666"/>
    <w:rsid w:val="00C55231"/>
    <w:rsid w:val="00C552FF"/>
    <w:rsid w:val="00C558DA"/>
    <w:rsid w:val="00C55AF3"/>
    <w:rsid w:val="00C60713"/>
    <w:rsid w:val="00C70B49"/>
    <w:rsid w:val="00C75C7C"/>
    <w:rsid w:val="00C81951"/>
    <w:rsid w:val="00C83A8F"/>
    <w:rsid w:val="00C84759"/>
    <w:rsid w:val="00C8658B"/>
    <w:rsid w:val="00C876B8"/>
    <w:rsid w:val="00C95A0F"/>
    <w:rsid w:val="00C97578"/>
    <w:rsid w:val="00CA3E46"/>
    <w:rsid w:val="00CA6C7F"/>
    <w:rsid w:val="00CA78AF"/>
    <w:rsid w:val="00CB0025"/>
    <w:rsid w:val="00CB0EA6"/>
    <w:rsid w:val="00CB6F8C"/>
    <w:rsid w:val="00CC0260"/>
    <w:rsid w:val="00CC10A6"/>
    <w:rsid w:val="00CD5EB8"/>
    <w:rsid w:val="00CD6AC7"/>
    <w:rsid w:val="00CD7044"/>
    <w:rsid w:val="00CE08B9"/>
    <w:rsid w:val="00CE524C"/>
    <w:rsid w:val="00CE7D8E"/>
    <w:rsid w:val="00CF141F"/>
    <w:rsid w:val="00CF2ACB"/>
    <w:rsid w:val="00CF4777"/>
    <w:rsid w:val="00CF5AF8"/>
    <w:rsid w:val="00D04EC8"/>
    <w:rsid w:val="00D067BB"/>
    <w:rsid w:val="00D070CC"/>
    <w:rsid w:val="00D1129E"/>
    <w:rsid w:val="00D11D49"/>
    <w:rsid w:val="00D1352A"/>
    <w:rsid w:val="00D13EDE"/>
    <w:rsid w:val="00D169AF"/>
    <w:rsid w:val="00D247C9"/>
    <w:rsid w:val="00D25249"/>
    <w:rsid w:val="00D255A7"/>
    <w:rsid w:val="00D334DD"/>
    <w:rsid w:val="00D352C6"/>
    <w:rsid w:val="00D36B47"/>
    <w:rsid w:val="00D44172"/>
    <w:rsid w:val="00D526D8"/>
    <w:rsid w:val="00D61098"/>
    <w:rsid w:val="00D63B8C"/>
    <w:rsid w:val="00D7104D"/>
    <w:rsid w:val="00D712FD"/>
    <w:rsid w:val="00D71A63"/>
    <w:rsid w:val="00D72CB6"/>
    <w:rsid w:val="00D739CC"/>
    <w:rsid w:val="00D8093D"/>
    <w:rsid w:val="00D8108C"/>
    <w:rsid w:val="00D842AE"/>
    <w:rsid w:val="00D858F3"/>
    <w:rsid w:val="00D9211C"/>
    <w:rsid w:val="00D92DE0"/>
    <w:rsid w:val="00D92FEF"/>
    <w:rsid w:val="00D93A0F"/>
    <w:rsid w:val="00D97EDE"/>
    <w:rsid w:val="00DA1BCA"/>
    <w:rsid w:val="00DA299F"/>
    <w:rsid w:val="00DA3FFA"/>
    <w:rsid w:val="00DA432E"/>
    <w:rsid w:val="00DA44BD"/>
    <w:rsid w:val="00DA7299"/>
    <w:rsid w:val="00DB36B7"/>
    <w:rsid w:val="00DB3E23"/>
    <w:rsid w:val="00DB64C6"/>
    <w:rsid w:val="00DC46FF"/>
    <w:rsid w:val="00DC5254"/>
    <w:rsid w:val="00DD1A4F"/>
    <w:rsid w:val="00DD3107"/>
    <w:rsid w:val="00DD5EFF"/>
    <w:rsid w:val="00DD7C2C"/>
    <w:rsid w:val="00DE6E55"/>
    <w:rsid w:val="00DF26B3"/>
    <w:rsid w:val="00DF295B"/>
    <w:rsid w:val="00DF46B8"/>
    <w:rsid w:val="00DF5512"/>
    <w:rsid w:val="00DF5660"/>
    <w:rsid w:val="00E0574F"/>
    <w:rsid w:val="00E06203"/>
    <w:rsid w:val="00E06797"/>
    <w:rsid w:val="00E06E92"/>
    <w:rsid w:val="00E10D67"/>
    <w:rsid w:val="00E110FD"/>
    <w:rsid w:val="00E122BC"/>
    <w:rsid w:val="00E1265B"/>
    <w:rsid w:val="00E13B48"/>
    <w:rsid w:val="00E1404F"/>
    <w:rsid w:val="00E14482"/>
    <w:rsid w:val="00E212EF"/>
    <w:rsid w:val="00E21C83"/>
    <w:rsid w:val="00E24ADA"/>
    <w:rsid w:val="00E256F6"/>
    <w:rsid w:val="00E32F59"/>
    <w:rsid w:val="00E37F15"/>
    <w:rsid w:val="00E440CD"/>
    <w:rsid w:val="00E46D9A"/>
    <w:rsid w:val="00E509D1"/>
    <w:rsid w:val="00E52CE0"/>
    <w:rsid w:val="00E565FF"/>
    <w:rsid w:val="00E600D6"/>
    <w:rsid w:val="00E63C75"/>
    <w:rsid w:val="00E65388"/>
    <w:rsid w:val="00E6772A"/>
    <w:rsid w:val="00E67833"/>
    <w:rsid w:val="00E679B1"/>
    <w:rsid w:val="00E74ACB"/>
    <w:rsid w:val="00E759FA"/>
    <w:rsid w:val="00E76BDF"/>
    <w:rsid w:val="00E77E1A"/>
    <w:rsid w:val="00E85B7D"/>
    <w:rsid w:val="00E9121B"/>
    <w:rsid w:val="00E94436"/>
    <w:rsid w:val="00E94B48"/>
    <w:rsid w:val="00E96614"/>
    <w:rsid w:val="00EA0818"/>
    <w:rsid w:val="00EA0AE2"/>
    <w:rsid w:val="00EA0B23"/>
    <w:rsid w:val="00EA292F"/>
    <w:rsid w:val="00EA32DA"/>
    <w:rsid w:val="00EA39E5"/>
    <w:rsid w:val="00EB1C17"/>
    <w:rsid w:val="00EB3106"/>
    <w:rsid w:val="00EB38FA"/>
    <w:rsid w:val="00EB742F"/>
    <w:rsid w:val="00EC1268"/>
    <w:rsid w:val="00EC5A46"/>
    <w:rsid w:val="00EC63E2"/>
    <w:rsid w:val="00ED0087"/>
    <w:rsid w:val="00ED1F3E"/>
    <w:rsid w:val="00ED641E"/>
    <w:rsid w:val="00EE0563"/>
    <w:rsid w:val="00EE1BA8"/>
    <w:rsid w:val="00EE1E98"/>
    <w:rsid w:val="00EE3735"/>
    <w:rsid w:val="00EE397B"/>
    <w:rsid w:val="00EE4483"/>
    <w:rsid w:val="00EE5261"/>
    <w:rsid w:val="00EF22B3"/>
    <w:rsid w:val="00EF469A"/>
    <w:rsid w:val="00EF6063"/>
    <w:rsid w:val="00EF6D83"/>
    <w:rsid w:val="00F00C9A"/>
    <w:rsid w:val="00F03B69"/>
    <w:rsid w:val="00F07A50"/>
    <w:rsid w:val="00F113DA"/>
    <w:rsid w:val="00F23184"/>
    <w:rsid w:val="00F25F15"/>
    <w:rsid w:val="00F31045"/>
    <w:rsid w:val="00F319FC"/>
    <w:rsid w:val="00F35079"/>
    <w:rsid w:val="00F37DC8"/>
    <w:rsid w:val="00F439B3"/>
    <w:rsid w:val="00F43ADF"/>
    <w:rsid w:val="00F45AA8"/>
    <w:rsid w:val="00F502DD"/>
    <w:rsid w:val="00F511D5"/>
    <w:rsid w:val="00F519AA"/>
    <w:rsid w:val="00F52A1B"/>
    <w:rsid w:val="00F638FC"/>
    <w:rsid w:val="00F650C3"/>
    <w:rsid w:val="00F65D85"/>
    <w:rsid w:val="00F7203C"/>
    <w:rsid w:val="00F75453"/>
    <w:rsid w:val="00F8091E"/>
    <w:rsid w:val="00F85F4F"/>
    <w:rsid w:val="00F8615C"/>
    <w:rsid w:val="00F86F66"/>
    <w:rsid w:val="00F9528E"/>
    <w:rsid w:val="00F9632B"/>
    <w:rsid w:val="00F969E5"/>
    <w:rsid w:val="00F97AEE"/>
    <w:rsid w:val="00F97E54"/>
    <w:rsid w:val="00FA1C95"/>
    <w:rsid w:val="00FA6BB0"/>
    <w:rsid w:val="00FB1DFB"/>
    <w:rsid w:val="00FC2004"/>
    <w:rsid w:val="00FD2D77"/>
    <w:rsid w:val="00FD5860"/>
    <w:rsid w:val="00FE06AA"/>
    <w:rsid w:val="00FE352D"/>
    <w:rsid w:val="00FE3727"/>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B527CD"/>
  <w15:chartTrackingRefBased/>
  <w15:docId w15:val="{047C420F-34D0-49BC-AD62-B57AFF36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64569"/>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16456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16456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16456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16456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16456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164569"/>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16456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16456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16456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64569"/>
    <w:rPr>
      <w:rFonts w:ascii="Times New Roman" w:hAnsi="Times New Roman"/>
      <w:b/>
      <w:sz w:val="18"/>
      <w:lang w:val="en-GB"/>
    </w:rPr>
  </w:style>
  <w:style w:type="table" w:customStyle="1" w:styleId="Tabledocright">
    <w:name w:val="Table_doc_right"/>
    <w:basedOn w:val="TableNormal"/>
    <w:rsid w:val="0016456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64569"/>
    <w:pPr>
      <w:ind w:left="1000"/>
    </w:pPr>
    <w:rPr>
      <w:sz w:val="18"/>
      <w:szCs w:val="18"/>
    </w:rPr>
  </w:style>
  <w:style w:type="paragraph" w:styleId="TOC7">
    <w:name w:val="toc 7"/>
    <w:basedOn w:val="Normal"/>
    <w:next w:val="Normal"/>
    <w:autoRedefine/>
    <w:semiHidden/>
    <w:rsid w:val="00164569"/>
    <w:pPr>
      <w:ind w:left="1200"/>
    </w:pPr>
    <w:rPr>
      <w:sz w:val="18"/>
      <w:szCs w:val="18"/>
    </w:rPr>
  </w:style>
  <w:style w:type="paragraph" w:styleId="TOC8">
    <w:name w:val="toc 8"/>
    <w:basedOn w:val="Normal"/>
    <w:next w:val="Normal"/>
    <w:autoRedefine/>
    <w:semiHidden/>
    <w:rsid w:val="00164569"/>
    <w:pPr>
      <w:ind w:left="1400"/>
    </w:pPr>
    <w:rPr>
      <w:sz w:val="18"/>
      <w:szCs w:val="18"/>
    </w:rPr>
  </w:style>
  <w:style w:type="paragraph" w:styleId="TOC9">
    <w:name w:val="toc 9"/>
    <w:basedOn w:val="Normal"/>
    <w:next w:val="Normal"/>
    <w:autoRedefine/>
    <w:semiHidden/>
    <w:rsid w:val="00164569"/>
    <w:pPr>
      <w:ind w:left="1600"/>
    </w:pPr>
    <w:rPr>
      <w:sz w:val="18"/>
      <w:szCs w:val="18"/>
    </w:rPr>
  </w:style>
  <w:style w:type="paragraph" w:customStyle="1" w:styleId="Titlefigure">
    <w:name w:val="Title_figure"/>
    <w:basedOn w:val="Titletable"/>
    <w:next w:val="NormalNonumber"/>
    <w:rsid w:val="00164569"/>
    <w:pPr>
      <w:tabs>
        <w:tab w:val="clear" w:pos="4990"/>
      </w:tabs>
    </w:pPr>
    <w:rPr>
      <w:bCs w:val="0"/>
    </w:rPr>
  </w:style>
  <w:style w:type="paragraph" w:styleId="TableofFigures">
    <w:name w:val="table of figures"/>
    <w:basedOn w:val="Normal"/>
    <w:next w:val="Normal"/>
    <w:autoRedefine/>
    <w:semiHidden/>
    <w:rsid w:val="00164569"/>
    <w:pPr>
      <w:ind w:left="1814" w:hanging="567"/>
    </w:pPr>
  </w:style>
  <w:style w:type="paragraph" w:customStyle="1" w:styleId="CH1">
    <w:name w:val="CH1"/>
    <w:basedOn w:val="Normal-pool"/>
    <w:next w:val="CH2"/>
    <w:qFormat/>
    <w:rsid w:val="0016456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64569"/>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16456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16456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16456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164569"/>
    <w:pPr>
      <w:tabs>
        <w:tab w:val="left" w:pos="4321"/>
        <w:tab w:val="right" w:pos="8641"/>
      </w:tabs>
      <w:spacing w:before="60"/>
    </w:pPr>
    <w:rPr>
      <w:b/>
      <w:sz w:val="18"/>
    </w:rPr>
  </w:style>
  <w:style w:type="paragraph" w:customStyle="1" w:styleId="Footer-pool">
    <w:name w:val="Footer-pool"/>
    <w:basedOn w:val="Normal-pool"/>
    <w:next w:val="Normal-pool"/>
    <w:rsid w:val="00164569"/>
    <w:pPr>
      <w:tabs>
        <w:tab w:val="right" w:pos="8641"/>
      </w:tabs>
      <w:spacing w:after="120"/>
    </w:pPr>
    <w:rPr>
      <w:b/>
      <w:sz w:val="18"/>
    </w:rPr>
  </w:style>
  <w:style w:type="paragraph" w:customStyle="1" w:styleId="Header-pool">
    <w:name w:val="Header-pool"/>
    <w:basedOn w:val="Normal"/>
    <w:next w:val="Normal"/>
    <w:rsid w:val="00164569"/>
    <w:pPr>
      <w:pBdr>
        <w:bottom w:val="single" w:sz="4" w:space="1" w:color="auto"/>
      </w:pBdr>
      <w:tabs>
        <w:tab w:val="right" w:pos="9072"/>
      </w:tabs>
    </w:pPr>
    <w:rPr>
      <w:b/>
      <w:sz w:val="18"/>
    </w:rPr>
  </w:style>
  <w:style w:type="character" w:styleId="FootnoteReference">
    <w:name w:val="footnote reference"/>
    <w:unhideWhenUsed/>
    <w:rsid w:val="00164569"/>
    <w:rPr>
      <w:rFonts w:ascii="Times New Roman" w:hAnsi="Times New Roman"/>
      <w:color w:val="auto"/>
      <w:sz w:val="20"/>
      <w:szCs w:val="18"/>
      <w:vertAlign w:val="superscript"/>
      <w:lang w:val="en-GB"/>
    </w:rPr>
  </w:style>
  <w:style w:type="table" w:customStyle="1" w:styleId="AATable">
    <w:name w:val="AA_Table"/>
    <w:basedOn w:val="TableNormal"/>
    <w:semiHidden/>
    <w:rsid w:val="0016456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4569"/>
    <w:pPr>
      <w:keepNext/>
      <w:keepLines/>
      <w:suppressAutoHyphens/>
    </w:pPr>
    <w:rPr>
      <w:b/>
    </w:rPr>
  </w:style>
  <w:style w:type="paragraph" w:customStyle="1" w:styleId="AATitle2">
    <w:name w:val="AA_Title2"/>
    <w:basedOn w:val="AATitle"/>
    <w:qFormat/>
    <w:rsid w:val="00164569"/>
    <w:pPr>
      <w:keepNext w:val="0"/>
      <w:keepLines w:val="0"/>
      <w:tabs>
        <w:tab w:val="clear" w:pos="4990"/>
      </w:tabs>
      <w:spacing w:before="120" w:after="120"/>
    </w:pPr>
  </w:style>
  <w:style w:type="paragraph" w:customStyle="1" w:styleId="BBTitle">
    <w:name w:val="BB_Title"/>
    <w:basedOn w:val="Normal-pool"/>
    <w:qFormat/>
    <w:rsid w:val="00164569"/>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16456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16456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164569"/>
    <w:rPr>
      <w:color w:val="0000FF"/>
      <w:u w:val="none"/>
      <w:lang w:val="en-GB"/>
    </w:rPr>
  </w:style>
  <w:style w:type="numbering" w:customStyle="1" w:styleId="Normallist">
    <w:name w:val="Normal_list"/>
    <w:basedOn w:val="NoList"/>
    <w:rsid w:val="00164569"/>
    <w:pPr>
      <w:numPr>
        <w:numId w:val="1"/>
      </w:numPr>
    </w:pPr>
  </w:style>
  <w:style w:type="paragraph" w:customStyle="1" w:styleId="NormalNonumber">
    <w:name w:val="Normal_No_number"/>
    <w:basedOn w:val="Normal-pool"/>
    <w:link w:val="NormalNonumberChar"/>
    <w:qFormat/>
    <w:rsid w:val="00164569"/>
    <w:pPr>
      <w:spacing w:after="120"/>
      <w:ind w:left="1247"/>
    </w:pPr>
  </w:style>
  <w:style w:type="paragraph" w:customStyle="1" w:styleId="Normalnumber">
    <w:name w:val="Normal_number"/>
    <w:basedOn w:val="Normal"/>
    <w:link w:val="NormalnumberChar"/>
    <w:qFormat/>
    <w:rsid w:val="00164569"/>
    <w:pPr>
      <w:numPr>
        <w:numId w:val="1"/>
      </w:numPr>
      <w:tabs>
        <w:tab w:val="clear" w:pos="624"/>
      </w:tabs>
      <w:spacing w:after="120"/>
      <w:ind w:left="1247"/>
    </w:pPr>
  </w:style>
  <w:style w:type="paragraph" w:customStyle="1" w:styleId="Titletable">
    <w:name w:val="Title_table"/>
    <w:basedOn w:val="Normal-pool"/>
    <w:next w:val="NormalNonumber"/>
    <w:rsid w:val="00164569"/>
    <w:pPr>
      <w:keepNext/>
      <w:keepLines/>
      <w:suppressAutoHyphens/>
      <w:spacing w:after="60"/>
      <w:ind w:left="1247"/>
    </w:pPr>
    <w:rPr>
      <w:b/>
      <w:bCs/>
    </w:rPr>
  </w:style>
  <w:style w:type="paragraph" w:styleId="TOC1">
    <w:name w:val="toc 1"/>
    <w:basedOn w:val="Normal"/>
    <w:next w:val="Normal"/>
    <w:autoRedefine/>
    <w:uiPriority w:val="39"/>
    <w:unhideWhenUsed/>
    <w:rsid w:val="00164569"/>
    <w:pPr>
      <w:tabs>
        <w:tab w:val="right" w:leader="dot" w:pos="9486"/>
      </w:tabs>
      <w:spacing w:before="240"/>
      <w:ind w:left="1984" w:hanging="737"/>
    </w:pPr>
    <w:rPr>
      <w:bCs/>
    </w:rPr>
  </w:style>
  <w:style w:type="paragraph" w:styleId="TOC2">
    <w:name w:val="toc 2"/>
    <w:basedOn w:val="Normal"/>
    <w:next w:val="Normal"/>
    <w:uiPriority w:val="39"/>
    <w:unhideWhenUsed/>
    <w:rsid w:val="00164569"/>
    <w:pPr>
      <w:tabs>
        <w:tab w:val="right" w:leader="dot" w:pos="9486"/>
      </w:tabs>
      <w:spacing w:before="60"/>
      <w:ind w:left="2608" w:hanging="737"/>
    </w:pPr>
  </w:style>
  <w:style w:type="paragraph" w:styleId="TOC3">
    <w:name w:val="toc 3"/>
    <w:basedOn w:val="Normal"/>
    <w:next w:val="Normal"/>
    <w:uiPriority w:val="39"/>
    <w:unhideWhenUsed/>
    <w:rsid w:val="00164569"/>
    <w:pPr>
      <w:tabs>
        <w:tab w:val="right" w:leader="dot" w:pos="9486"/>
      </w:tabs>
      <w:ind w:left="3232" w:hanging="737"/>
    </w:pPr>
    <w:rPr>
      <w:iCs/>
    </w:rPr>
  </w:style>
  <w:style w:type="paragraph" w:styleId="TOC4">
    <w:name w:val="toc 4"/>
    <w:basedOn w:val="Normal"/>
    <w:next w:val="Normal"/>
    <w:uiPriority w:val="39"/>
    <w:unhideWhenUsed/>
    <w:rsid w:val="00164569"/>
    <w:pPr>
      <w:tabs>
        <w:tab w:val="left" w:pos="1000"/>
        <w:tab w:val="right" w:leader="dot" w:pos="9486"/>
      </w:tabs>
      <w:ind w:left="3856" w:hanging="737"/>
    </w:pPr>
    <w:rPr>
      <w:szCs w:val="18"/>
    </w:rPr>
  </w:style>
  <w:style w:type="paragraph" w:styleId="TOC5">
    <w:name w:val="toc 5"/>
    <w:basedOn w:val="Normal"/>
    <w:next w:val="Normal"/>
    <w:uiPriority w:val="39"/>
    <w:rsid w:val="00164569"/>
    <w:pPr>
      <w:tabs>
        <w:tab w:val="right" w:leader="dot" w:pos="9486"/>
      </w:tabs>
      <w:ind w:left="4479" w:hanging="737"/>
    </w:pPr>
    <w:rPr>
      <w:sz w:val="18"/>
      <w:szCs w:val="18"/>
    </w:rPr>
  </w:style>
  <w:style w:type="paragraph" w:customStyle="1" w:styleId="ZZAnxheader">
    <w:name w:val="ZZ_Anx_header"/>
    <w:basedOn w:val="Normal-pool"/>
    <w:rsid w:val="00164569"/>
    <w:rPr>
      <w:b/>
      <w:bCs/>
      <w:sz w:val="28"/>
      <w:szCs w:val="22"/>
    </w:rPr>
  </w:style>
  <w:style w:type="paragraph" w:customStyle="1" w:styleId="ZZAnxtitle">
    <w:name w:val="ZZ_Anx_title"/>
    <w:basedOn w:val="Normal-pool"/>
    <w:rsid w:val="00164569"/>
    <w:pPr>
      <w:spacing w:before="360" w:after="120"/>
      <w:ind w:left="1247"/>
    </w:pPr>
    <w:rPr>
      <w:b/>
      <w:bCs/>
      <w:sz w:val="28"/>
      <w:szCs w:val="26"/>
    </w:rPr>
  </w:style>
  <w:style w:type="paragraph" w:styleId="NormalWeb">
    <w:name w:val="Normal (Web)"/>
    <w:basedOn w:val="Normal"/>
    <w:uiPriority w:val="99"/>
    <w:semiHidden/>
    <w:unhideWhenUsed/>
    <w:rsid w:val="00164569"/>
    <w:pPr>
      <w:spacing w:before="100" w:beforeAutospacing="1" w:after="100" w:afterAutospacing="1"/>
    </w:pPr>
    <w:rPr>
      <w:rFonts w:eastAsiaTheme="minorEastAsia"/>
      <w:sz w:val="24"/>
      <w:szCs w:val="24"/>
    </w:rPr>
  </w:style>
  <w:style w:type="paragraph" w:customStyle="1" w:styleId="Normal-pool-Table">
    <w:name w:val="Normal-pool-Table"/>
    <w:basedOn w:val="Normal-pool"/>
    <w:rsid w:val="00164569"/>
    <w:pPr>
      <w:spacing w:before="40" w:after="40"/>
    </w:pPr>
    <w:rPr>
      <w:sz w:val="18"/>
    </w:rPr>
  </w:style>
  <w:style w:type="paragraph" w:customStyle="1" w:styleId="Footnote-Text">
    <w:name w:val="Footnote-Text"/>
    <w:basedOn w:val="Normal-pool"/>
    <w:rsid w:val="00164569"/>
    <w:pPr>
      <w:spacing w:before="20" w:after="40"/>
      <w:ind w:left="1247"/>
    </w:pPr>
    <w:rPr>
      <w:sz w:val="18"/>
    </w:rPr>
  </w:style>
  <w:style w:type="paragraph" w:customStyle="1" w:styleId="AConvName">
    <w:name w:val="A_ConvName"/>
    <w:basedOn w:val="Normal-pool"/>
    <w:next w:val="Normal-pool"/>
    <w:rsid w:val="00164569"/>
    <w:pPr>
      <w:spacing w:before="120" w:after="240"/>
    </w:pPr>
    <w:rPr>
      <w:rFonts w:ascii="Arial" w:hAnsi="Arial"/>
      <w:b/>
      <w:sz w:val="28"/>
    </w:rPr>
  </w:style>
  <w:style w:type="paragraph" w:customStyle="1" w:styleId="ASymbol">
    <w:name w:val="A_Symbol"/>
    <w:basedOn w:val="Normal-pool"/>
    <w:rsid w:val="00164569"/>
    <w:pPr>
      <w:tabs>
        <w:tab w:val="clear" w:pos="624"/>
        <w:tab w:val="clear" w:pos="1247"/>
        <w:tab w:val="right" w:pos="2920"/>
      </w:tabs>
    </w:pPr>
    <w:rPr>
      <w:rFonts w:eastAsia="SimSun"/>
    </w:rPr>
  </w:style>
  <w:style w:type="paragraph" w:customStyle="1" w:styleId="AText">
    <w:name w:val="A_Text"/>
    <w:basedOn w:val="Normal-pool"/>
    <w:rsid w:val="00164569"/>
    <w:pPr>
      <w:spacing w:before="120"/>
    </w:pPr>
  </w:style>
  <w:style w:type="paragraph" w:customStyle="1" w:styleId="ATwoLetters">
    <w:name w:val="A_TwoLetters"/>
    <w:basedOn w:val="Normal-pool"/>
    <w:next w:val="Normal-pool"/>
    <w:rsid w:val="00164569"/>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164569"/>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164569"/>
    <w:rPr>
      <w:rFonts w:ascii="Tahoma" w:hAnsi="Tahoma" w:cs="Tahoma"/>
      <w:sz w:val="16"/>
      <w:szCs w:val="16"/>
    </w:rPr>
  </w:style>
  <w:style w:type="character" w:customStyle="1" w:styleId="BalloonTextChar">
    <w:name w:val="Balloon Text Char"/>
    <w:basedOn w:val="DefaultParagraphFont"/>
    <w:link w:val="BalloonText"/>
    <w:rsid w:val="00164569"/>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164569"/>
    <w:rPr>
      <w:sz w:val="16"/>
      <w:szCs w:val="16"/>
      <w:lang w:val="en-GB"/>
    </w:rPr>
  </w:style>
  <w:style w:type="paragraph" w:styleId="CommentText">
    <w:name w:val="annotation text"/>
    <w:basedOn w:val="Normal"/>
    <w:link w:val="CommentTextChar"/>
    <w:unhideWhenUsed/>
    <w:rsid w:val="00164569"/>
  </w:style>
  <w:style w:type="character" w:customStyle="1" w:styleId="CommentTextChar">
    <w:name w:val="Comment Text Char"/>
    <w:basedOn w:val="DefaultParagraphFont"/>
    <w:link w:val="CommentText"/>
    <w:rsid w:val="00164569"/>
    <w:rPr>
      <w:rFonts w:eastAsia="Times New Roman"/>
      <w:lang w:val="en-GB" w:eastAsia="en-US"/>
    </w:rPr>
  </w:style>
  <w:style w:type="paragraph" w:styleId="CommentSubject">
    <w:name w:val="annotation subject"/>
    <w:basedOn w:val="CommentText"/>
    <w:next w:val="CommentText"/>
    <w:link w:val="CommentSubjectChar"/>
    <w:semiHidden/>
    <w:unhideWhenUsed/>
    <w:rsid w:val="00164569"/>
    <w:rPr>
      <w:b/>
      <w:bCs/>
    </w:rPr>
  </w:style>
  <w:style w:type="character" w:customStyle="1" w:styleId="CommentSubjectChar">
    <w:name w:val="Comment Subject Char"/>
    <w:basedOn w:val="CommentTextChar"/>
    <w:link w:val="CommentSubject"/>
    <w:semiHidden/>
    <w:rsid w:val="00164569"/>
    <w:rPr>
      <w:rFonts w:eastAsia="Times New Roman"/>
      <w:b/>
      <w:bCs/>
      <w:lang w:val="en-GB" w:eastAsia="en-US"/>
    </w:rPr>
  </w:style>
  <w:style w:type="character" w:styleId="FollowedHyperlink">
    <w:name w:val="FollowedHyperlink"/>
    <w:uiPriority w:val="99"/>
    <w:semiHidden/>
    <w:rsid w:val="00164569"/>
    <w:rPr>
      <w:color w:val="0000FF"/>
      <w:u w:val="none"/>
      <w:lang w:val="en-GB"/>
    </w:rPr>
  </w:style>
  <w:style w:type="character" w:customStyle="1" w:styleId="FooterChar">
    <w:name w:val="Footer Char"/>
    <w:basedOn w:val="DefaultParagraphFont"/>
    <w:link w:val="CH4"/>
    <w:rsid w:val="00164569"/>
    <w:rPr>
      <w:rFonts w:eastAsia="Times New Roman"/>
      <w:b/>
      <w:lang w:val="en-GB" w:eastAsia="en-US"/>
    </w:rPr>
  </w:style>
  <w:style w:type="character" w:customStyle="1" w:styleId="HeaderChar">
    <w:name w:val="Header Char"/>
    <w:basedOn w:val="DefaultParagraphFont"/>
    <w:link w:val="Header"/>
    <w:semiHidden/>
    <w:rsid w:val="00164569"/>
    <w:rPr>
      <w:rFonts w:eastAsia="Times New Roman"/>
      <w:b/>
      <w:sz w:val="18"/>
      <w:lang w:val="en-GB" w:eastAsia="en-US"/>
    </w:rPr>
  </w:style>
  <w:style w:type="character" w:customStyle="1" w:styleId="Heading1Char">
    <w:name w:val="Heading 1 Char"/>
    <w:basedOn w:val="DefaultParagraphFont"/>
    <w:link w:val="Heading1"/>
    <w:rsid w:val="00164569"/>
    <w:rPr>
      <w:rFonts w:eastAsia="Times New Roman"/>
      <w:b/>
      <w:sz w:val="28"/>
      <w:szCs w:val="28"/>
      <w:lang w:val="en-GB" w:eastAsia="en-US"/>
    </w:rPr>
  </w:style>
  <w:style w:type="character" w:customStyle="1" w:styleId="Heading2Char">
    <w:name w:val="Heading 2 Char"/>
    <w:basedOn w:val="DefaultParagraphFont"/>
    <w:link w:val="Heading2"/>
    <w:rsid w:val="00164569"/>
    <w:rPr>
      <w:rFonts w:eastAsia="Times New Roman"/>
      <w:b/>
      <w:sz w:val="24"/>
      <w:szCs w:val="24"/>
      <w:lang w:val="en-GB" w:eastAsia="en-US"/>
    </w:rPr>
  </w:style>
  <w:style w:type="character" w:customStyle="1" w:styleId="Heading3Char">
    <w:name w:val="Heading 3 Char"/>
    <w:basedOn w:val="DefaultParagraphFont"/>
    <w:link w:val="Heading3"/>
    <w:rsid w:val="00164569"/>
    <w:rPr>
      <w:rFonts w:eastAsia="Times New Roman"/>
      <w:b/>
      <w:lang w:val="en-GB" w:eastAsia="en-US"/>
    </w:rPr>
  </w:style>
  <w:style w:type="character" w:customStyle="1" w:styleId="Heading4Char">
    <w:name w:val="Heading 4 Char"/>
    <w:basedOn w:val="DefaultParagraphFont"/>
    <w:link w:val="Heading4"/>
    <w:rsid w:val="00164569"/>
    <w:rPr>
      <w:rFonts w:eastAsia="Times New Roman"/>
      <w:b/>
      <w:lang w:val="en-GB" w:eastAsia="en-US"/>
    </w:rPr>
  </w:style>
  <w:style w:type="character" w:customStyle="1" w:styleId="Heading5Char">
    <w:name w:val="Heading 5 Char"/>
    <w:basedOn w:val="DefaultParagraphFont"/>
    <w:link w:val="Heading5"/>
    <w:rsid w:val="00164569"/>
    <w:rPr>
      <w:rFonts w:eastAsia="Times New Roman"/>
      <w:b/>
      <w:lang w:val="en-GB" w:eastAsia="en-US"/>
    </w:rPr>
  </w:style>
  <w:style w:type="character" w:customStyle="1" w:styleId="Heading6Char">
    <w:name w:val="Heading 6 Char"/>
    <w:basedOn w:val="DefaultParagraphFont"/>
    <w:link w:val="Heading6"/>
    <w:semiHidden/>
    <w:rsid w:val="00164569"/>
    <w:rPr>
      <w:rFonts w:eastAsia="Times New Roman"/>
      <w:bCs/>
      <w:sz w:val="24"/>
      <w:lang w:val="en-GB" w:eastAsia="en-US"/>
    </w:rPr>
  </w:style>
  <w:style w:type="character" w:customStyle="1" w:styleId="Heading7Char">
    <w:name w:val="Heading 7 Char"/>
    <w:basedOn w:val="DefaultParagraphFont"/>
    <w:link w:val="Heading7"/>
    <w:semiHidden/>
    <w:rsid w:val="00164569"/>
    <w:rPr>
      <w:rFonts w:eastAsia="Times New Roman"/>
      <w:b/>
      <w:snapToGrid w:val="0"/>
      <w:u w:val="single"/>
      <w:lang w:val="en-GB" w:eastAsia="en-US"/>
    </w:rPr>
  </w:style>
  <w:style w:type="character" w:customStyle="1" w:styleId="Heading8Char">
    <w:name w:val="Heading 8 Char"/>
    <w:basedOn w:val="DefaultParagraphFont"/>
    <w:link w:val="Heading8"/>
    <w:semiHidden/>
    <w:rsid w:val="00164569"/>
    <w:rPr>
      <w:rFonts w:eastAsia="Times New Roman"/>
      <w:b/>
      <w:snapToGrid w:val="0"/>
      <w:u w:val="single"/>
      <w:lang w:val="en-GB" w:eastAsia="en-US"/>
    </w:rPr>
  </w:style>
  <w:style w:type="character" w:customStyle="1" w:styleId="Heading9Char">
    <w:name w:val="Heading 9 Char"/>
    <w:basedOn w:val="DefaultParagraphFont"/>
    <w:link w:val="Heading9"/>
    <w:semiHidden/>
    <w:rsid w:val="00164569"/>
    <w:rPr>
      <w:rFonts w:eastAsia="Times New Roman"/>
      <w:snapToGrid w:val="0"/>
      <w:u w:val="single"/>
      <w:lang w:val="en-GB" w:eastAsia="en-US"/>
    </w:rPr>
  </w:style>
  <w:style w:type="paragraph" w:styleId="ListParagraph">
    <w:name w:val="List Paragraph"/>
    <w:basedOn w:val="Normal"/>
    <w:uiPriority w:val="34"/>
    <w:semiHidden/>
    <w:qFormat/>
    <w:rsid w:val="00164569"/>
    <w:pPr>
      <w:ind w:left="720"/>
      <w:contextualSpacing/>
    </w:pPr>
  </w:style>
  <w:style w:type="paragraph" w:styleId="NoSpacing">
    <w:name w:val="No Spacing"/>
    <w:uiPriority w:val="1"/>
    <w:semiHidden/>
    <w:qFormat/>
    <w:rsid w:val="00164569"/>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164569"/>
    <w:rPr>
      <w:rFonts w:eastAsia="Times New Roman"/>
      <w:lang w:val="en-GB" w:eastAsia="en-US"/>
    </w:rPr>
  </w:style>
  <w:style w:type="character" w:styleId="PlaceholderText">
    <w:name w:val="Placeholder Text"/>
    <w:basedOn w:val="DefaultParagraphFont"/>
    <w:uiPriority w:val="99"/>
    <w:semiHidden/>
    <w:rsid w:val="00164569"/>
    <w:rPr>
      <w:color w:val="808080"/>
      <w:lang w:val="en-GB"/>
    </w:rPr>
  </w:style>
  <w:style w:type="table" w:styleId="TableGrid">
    <w:name w:val="Table Grid"/>
    <w:basedOn w:val="TableNormal"/>
    <w:uiPriority w:val="59"/>
    <w:rsid w:val="00164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164569"/>
    <w:pPr>
      <w:spacing w:before="120" w:after="240"/>
    </w:pPr>
  </w:style>
  <w:style w:type="character" w:customStyle="1" w:styleId="ALogoChar">
    <w:name w:val="A_Logo Char"/>
    <w:basedOn w:val="DefaultParagraphFont"/>
    <w:link w:val="ALogo"/>
    <w:rsid w:val="00164569"/>
    <w:rPr>
      <w:rFonts w:eastAsia="Times New Roman"/>
      <w:lang w:val="en-GB" w:eastAsia="en-US"/>
    </w:rPr>
  </w:style>
  <w:style w:type="paragraph" w:customStyle="1" w:styleId="ASpacer">
    <w:name w:val="A_Spacer"/>
    <w:basedOn w:val="Normal-pool"/>
    <w:link w:val="ASpacerChar"/>
    <w:qFormat/>
    <w:rsid w:val="00164569"/>
    <w:rPr>
      <w:sz w:val="2"/>
    </w:rPr>
  </w:style>
  <w:style w:type="character" w:customStyle="1" w:styleId="ASpacerChar">
    <w:name w:val="A_Spacer Char"/>
    <w:basedOn w:val="DefaultParagraphFont"/>
    <w:link w:val="ASpacer"/>
    <w:rsid w:val="00164569"/>
    <w:rPr>
      <w:rFonts w:eastAsia="Times New Roman"/>
      <w:sz w:val="2"/>
      <w:lang w:val="en-GB" w:eastAsia="en-US"/>
    </w:rPr>
  </w:style>
  <w:style w:type="paragraph" w:customStyle="1" w:styleId="AATitle1">
    <w:name w:val="AA_Title1"/>
    <w:basedOn w:val="Normal-pool"/>
    <w:rsid w:val="00164569"/>
  </w:style>
  <w:style w:type="character" w:styleId="UnresolvedMention">
    <w:name w:val="Unresolved Mention"/>
    <w:basedOn w:val="DefaultParagraphFont"/>
    <w:uiPriority w:val="99"/>
    <w:semiHidden/>
    <w:rsid w:val="00164569"/>
    <w:rPr>
      <w:color w:val="605E5C"/>
      <w:shd w:val="clear" w:color="auto" w:fill="E1DFDD"/>
      <w:lang w:val="en-GB"/>
    </w:rPr>
  </w:style>
  <w:style w:type="paragraph" w:customStyle="1" w:styleId="ANormal">
    <w:name w:val="A_Normal"/>
    <w:basedOn w:val="Normal-pool"/>
    <w:rsid w:val="00164569"/>
  </w:style>
  <w:style w:type="paragraph" w:customStyle="1" w:styleId="AText0">
    <w:name w:val="A_Text0"/>
    <w:basedOn w:val="AText"/>
    <w:next w:val="AText"/>
    <w:rsid w:val="00164569"/>
    <w:pPr>
      <w:tabs>
        <w:tab w:val="clear" w:pos="4990"/>
      </w:tabs>
      <w:spacing w:before="0" w:after="120"/>
    </w:pPr>
  </w:style>
  <w:style w:type="paragraph" w:styleId="Footer">
    <w:name w:val="footer"/>
    <w:basedOn w:val="Normal"/>
    <w:link w:val="FooterChar1"/>
    <w:unhideWhenUsed/>
    <w:rsid w:val="00164569"/>
    <w:pPr>
      <w:tabs>
        <w:tab w:val="clear" w:pos="1247"/>
        <w:tab w:val="right" w:pos="8641"/>
      </w:tabs>
    </w:pPr>
    <w:rPr>
      <w:b/>
      <w:sz w:val="18"/>
    </w:rPr>
  </w:style>
  <w:style w:type="character" w:customStyle="1" w:styleId="FooterChar1">
    <w:name w:val="Footer Char1"/>
    <w:basedOn w:val="DefaultParagraphFont"/>
    <w:link w:val="Footer"/>
    <w:rsid w:val="00164569"/>
    <w:rPr>
      <w:rFonts w:eastAsia="Times New Roman"/>
      <w:b/>
      <w:sz w:val="18"/>
      <w:lang w:val="en-GB" w:eastAsia="en-US"/>
    </w:rPr>
  </w:style>
  <w:style w:type="paragraph" w:customStyle="1" w:styleId="Normal-pool">
    <w:name w:val="Normal-pool"/>
    <w:link w:val="Normal-poolChar"/>
    <w:qFormat/>
    <w:rsid w:val="00164569"/>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164569"/>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164569"/>
    <w:pPr>
      <w:spacing w:before="60"/>
      <w:ind w:left="624"/>
    </w:pPr>
    <w:rPr>
      <w:rFonts w:eastAsiaTheme="minorEastAsia"/>
      <w:sz w:val="18"/>
    </w:rPr>
  </w:style>
  <w:style w:type="paragraph" w:styleId="Bibliography">
    <w:name w:val="Bibliography"/>
    <w:basedOn w:val="Normal"/>
    <w:next w:val="Normal"/>
    <w:uiPriority w:val="37"/>
    <w:semiHidden/>
    <w:rsid w:val="00D11D49"/>
  </w:style>
  <w:style w:type="paragraph" w:styleId="BlockText">
    <w:name w:val="Block Text"/>
    <w:basedOn w:val="Normal"/>
    <w:semiHidden/>
    <w:unhideWhenUsed/>
    <w:rsid w:val="00D11D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D11D49"/>
    <w:pPr>
      <w:spacing w:after="120"/>
    </w:pPr>
  </w:style>
  <w:style w:type="character" w:customStyle="1" w:styleId="BodyTextChar">
    <w:name w:val="Body Text Char"/>
    <w:basedOn w:val="DefaultParagraphFont"/>
    <w:link w:val="BodyText"/>
    <w:semiHidden/>
    <w:rsid w:val="00D11D49"/>
    <w:rPr>
      <w:rFonts w:eastAsia="Times New Roman"/>
      <w:lang w:val="en-GB" w:eastAsia="en-US"/>
    </w:rPr>
  </w:style>
  <w:style w:type="paragraph" w:styleId="BodyText2">
    <w:name w:val="Body Text 2"/>
    <w:basedOn w:val="Normal"/>
    <w:link w:val="BodyText2Char"/>
    <w:semiHidden/>
    <w:unhideWhenUsed/>
    <w:rsid w:val="00D11D49"/>
    <w:pPr>
      <w:spacing w:after="120" w:line="480" w:lineRule="auto"/>
    </w:pPr>
  </w:style>
  <w:style w:type="character" w:customStyle="1" w:styleId="BodyText2Char">
    <w:name w:val="Body Text 2 Char"/>
    <w:basedOn w:val="DefaultParagraphFont"/>
    <w:link w:val="BodyText2"/>
    <w:semiHidden/>
    <w:rsid w:val="00D11D49"/>
    <w:rPr>
      <w:rFonts w:eastAsia="Times New Roman"/>
      <w:lang w:val="en-GB" w:eastAsia="en-US"/>
    </w:rPr>
  </w:style>
  <w:style w:type="paragraph" w:styleId="BodyText3">
    <w:name w:val="Body Text 3"/>
    <w:basedOn w:val="Normal"/>
    <w:link w:val="BodyText3Char"/>
    <w:semiHidden/>
    <w:unhideWhenUsed/>
    <w:rsid w:val="00D11D49"/>
    <w:pPr>
      <w:spacing w:after="120"/>
    </w:pPr>
    <w:rPr>
      <w:sz w:val="16"/>
      <w:szCs w:val="16"/>
    </w:rPr>
  </w:style>
  <w:style w:type="character" w:customStyle="1" w:styleId="BodyText3Char">
    <w:name w:val="Body Text 3 Char"/>
    <w:basedOn w:val="DefaultParagraphFont"/>
    <w:link w:val="BodyText3"/>
    <w:semiHidden/>
    <w:rsid w:val="00D11D49"/>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D11D49"/>
    <w:pPr>
      <w:spacing w:after="0"/>
      <w:ind w:firstLine="360"/>
    </w:pPr>
  </w:style>
  <w:style w:type="character" w:customStyle="1" w:styleId="BodyTextFirstIndentChar">
    <w:name w:val="Body Text First Indent Char"/>
    <w:basedOn w:val="BodyTextChar"/>
    <w:link w:val="BodyTextFirstIndent"/>
    <w:semiHidden/>
    <w:rsid w:val="00D11D49"/>
    <w:rPr>
      <w:rFonts w:eastAsia="Times New Roman"/>
      <w:lang w:val="en-GB" w:eastAsia="en-US"/>
    </w:rPr>
  </w:style>
  <w:style w:type="paragraph" w:styleId="BodyTextIndent">
    <w:name w:val="Body Text Indent"/>
    <w:basedOn w:val="Normal"/>
    <w:link w:val="BodyTextIndentChar"/>
    <w:semiHidden/>
    <w:unhideWhenUsed/>
    <w:rsid w:val="00D11D49"/>
    <w:pPr>
      <w:spacing w:after="120"/>
      <w:ind w:left="283"/>
    </w:pPr>
  </w:style>
  <w:style w:type="character" w:customStyle="1" w:styleId="BodyTextIndentChar">
    <w:name w:val="Body Text Indent Char"/>
    <w:basedOn w:val="DefaultParagraphFont"/>
    <w:link w:val="BodyTextIndent"/>
    <w:semiHidden/>
    <w:rsid w:val="00D11D49"/>
    <w:rPr>
      <w:rFonts w:eastAsia="Times New Roman"/>
      <w:lang w:val="en-GB" w:eastAsia="en-US"/>
    </w:rPr>
  </w:style>
  <w:style w:type="paragraph" w:styleId="BodyTextFirstIndent2">
    <w:name w:val="Body Text First Indent 2"/>
    <w:basedOn w:val="BodyTextIndent"/>
    <w:link w:val="BodyTextFirstIndent2Char"/>
    <w:semiHidden/>
    <w:unhideWhenUsed/>
    <w:rsid w:val="00D11D49"/>
    <w:pPr>
      <w:spacing w:after="0"/>
      <w:ind w:left="360" w:firstLine="360"/>
    </w:pPr>
  </w:style>
  <w:style w:type="character" w:customStyle="1" w:styleId="BodyTextFirstIndent2Char">
    <w:name w:val="Body Text First Indent 2 Char"/>
    <w:basedOn w:val="BodyTextIndentChar"/>
    <w:link w:val="BodyTextFirstIndent2"/>
    <w:semiHidden/>
    <w:rsid w:val="00D11D49"/>
    <w:rPr>
      <w:rFonts w:eastAsia="Times New Roman"/>
      <w:lang w:val="en-GB" w:eastAsia="en-US"/>
    </w:rPr>
  </w:style>
  <w:style w:type="paragraph" w:styleId="BodyTextIndent2">
    <w:name w:val="Body Text Indent 2"/>
    <w:basedOn w:val="Normal"/>
    <w:link w:val="BodyTextIndent2Char"/>
    <w:semiHidden/>
    <w:unhideWhenUsed/>
    <w:rsid w:val="00D11D49"/>
    <w:pPr>
      <w:spacing w:after="120" w:line="480" w:lineRule="auto"/>
      <w:ind w:left="283"/>
    </w:pPr>
  </w:style>
  <w:style w:type="character" w:customStyle="1" w:styleId="BodyTextIndent2Char">
    <w:name w:val="Body Text Indent 2 Char"/>
    <w:basedOn w:val="DefaultParagraphFont"/>
    <w:link w:val="BodyTextIndent2"/>
    <w:semiHidden/>
    <w:rsid w:val="00D11D49"/>
    <w:rPr>
      <w:rFonts w:eastAsia="Times New Roman"/>
      <w:lang w:val="en-GB" w:eastAsia="en-US"/>
    </w:rPr>
  </w:style>
  <w:style w:type="paragraph" w:styleId="BodyTextIndent3">
    <w:name w:val="Body Text Indent 3"/>
    <w:basedOn w:val="Normal"/>
    <w:link w:val="BodyTextIndent3Char"/>
    <w:semiHidden/>
    <w:unhideWhenUsed/>
    <w:rsid w:val="00D11D49"/>
    <w:pPr>
      <w:spacing w:after="120"/>
      <w:ind w:left="283"/>
    </w:pPr>
    <w:rPr>
      <w:sz w:val="16"/>
      <w:szCs w:val="16"/>
    </w:rPr>
  </w:style>
  <w:style w:type="character" w:customStyle="1" w:styleId="BodyTextIndent3Char">
    <w:name w:val="Body Text Indent 3 Char"/>
    <w:basedOn w:val="DefaultParagraphFont"/>
    <w:link w:val="BodyTextIndent3"/>
    <w:semiHidden/>
    <w:rsid w:val="00D11D49"/>
    <w:rPr>
      <w:rFonts w:eastAsia="Times New Roman"/>
      <w:sz w:val="16"/>
      <w:szCs w:val="16"/>
      <w:lang w:val="en-GB" w:eastAsia="en-US"/>
    </w:rPr>
  </w:style>
  <w:style w:type="character" w:styleId="BookTitle">
    <w:name w:val="Book Title"/>
    <w:basedOn w:val="DefaultParagraphFont"/>
    <w:uiPriority w:val="33"/>
    <w:semiHidden/>
    <w:qFormat/>
    <w:rsid w:val="00D11D49"/>
    <w:rPr>
      <w:b/>
      <w:bCs/>
      <w:i/>
      <w:iCs/>
      <w:spacing w:val="5"/>
      <w:lang w:val="en-GB"/>
    </w:rPr>
  </w:style>
  <w:style w:type="paragraph" w:styleId="Caption">
    <w:name w:val="caption"/>
    <w:basedOn w:val="Normal"/>
    <w:next w:val="Normal"/>
    <w:semiHidden/>
    <w:unhideWhenUsed/>
    <w:qFormat/>
    <w:rsid w:val="00D11D49"/>
    <w:pPr>
      <w:spacing w:after="200"/>
    </w:pPr>
    <w:rPr>
      <w:i/>
      <w:iCs/>
      <w:color w:val="1F497D" w:themeColor="text2"/>
      <w:sz w:val="18"/>
      <w:szCs w:val="18"/>
    </w:rPr>
  </w:style>
  <w:style w:type="paragraph" w:styleId="Closing">
    <w:name w:val="Closing"/>
    <w:basedOn w:val="Normal"/>
    <w:link w:val="ClosingChar"/>
    <w:semiHidden/>
    <w:unhideWhenUsed/>
    <w:rsid w:val="00D11D49"/>
    <w:pPr>
      <w:ind w:left="4252"/>
    </w:pPr>
  </w:style>
  <w:style w:type="character" w:customStyle="1" w:styleId="ClosingChar">
    <w:name w:val="Closing Char"/>
    <w:basedOn w:val="DefaultParagraphFont"/>
    <w:link w:val="Closing"/>
    <w:semiHidden/>
    <w:rsid w:val="00D11D49"/>
    <w:rPr>
      <w:rFonts w:eastAsia="Times New Roman"/>
      <w:lang w:val="en-GB" w:eastAsia="en-US"/>
    </w:rPr>
  </w:style>
  <w:style w:type="table" w:styleId="ColorfulGrid">
    <w:name w:val="Colorful Grid"/>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11D4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11D4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11D4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11D4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11D4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11D4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11D4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11D4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11D4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11D4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11D4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11D4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11D4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11D4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11D4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11D4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11D4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11D4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D11D49"/>
  </w:style>
  <w:style w:type="character" w:customStyle="1" w:styleId="DateChar">
    <w:name w:val="Date Char"/>
    <w:basedOn w:val="DefaultParagraphFont"/>
    <w:link w:val="Date"/>
    <w:semiHidden/>
    <w:rsid w:val="00D11D49"/>
    <w:rPr>
      <w:rFonts w:eastAsia="Times New Roman"/>
      <w:lang w:val="en-GB" w:eastAsia="en-US"/>
    </w:rPr>
  </w:style>
  <w:style w:type="paragraph" w:styleId="DocumentMap">
    <w:name w:val="Document Map"/>
    <w:basedOn w:val="Normal"/>
    <w:link w:val="DocumentMapChar"/>
    <w:semiHidden/>
    <w:unhideWhenUsed/>
    <w:rsid w:val="00D11D49"/>
    <w:rPr>
      <w:rFonts w:ascii="Segoe UI" w:hAnsi="Segoe UI" w:cs="Segoe UI"/>
      <w:sz w:val="16"/>
      <w:szCs w:val="16"/>
    </w:rPr>
  </w:style>
  <w:style w:type="character" w:customStyle="1" w:styleId="DocumentMapChar">
    <w:name w:val="Document Map Char"/>
    <w:basedOn w:val="DefaultParagraphFont"/>
    <w:link w:val="DocumentMap"/>
    <w:semiHidden/>
    <w:rsid w:val="00D11D49"/>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D11D49"/>
  </w:style>
  <w:style w:type="character" w:customStyle="1" w:styleId="E-mailSignatureChar">
    <w:name w:val="E-mail Signature Char"/>
    <w:basedOn w:val="DefaultParagraphFont"/>
    <w:link w:val="E-mailSignature"/>
    <w:semiHidden/>
    <w:rsid w:val="00D11D49"/>
    <w:rPr>
      <w:rFonts w:eastAsia="Times New Roman"/>
      <w:lang w:val="en-GB" w:eastAsia="en-US"/>
    </w:rPr>
  </w:style>
  <w:style w:type="character" w:styleId="Emphasis">
    <w:name w:val="Emphasis"/>
    <w:basedOn w:val="DefaultParagraphFont"/>
    <w:semiHidden/>
    <w:qFormat/>
    <w:rsid w:val="00D11D49"/>
    <w:rPr>
      <w:i/>
      <w:iCs/>
      <w:lang w:val="en-GB"/>
    </w:rPr>
  </w:style>
  <w:style w:type="character" w:styleId="EndnoteReference">
    <w:name w:val="endnote reference"/>
    <w:basedOn w:val="DefaultParagraphFont"/>
    <w:semiHidden/>
    <w:unhideWhenUsed/>
    <w:rsid w:val="00D11D49"/>
    <w:rPr>
      <w:vertAlign w:val="superscript"/>
      <w:lang w:val="en-GB"/>
    </w:rPr>
  </w:style>
  <w:style w:type="paragraph" w:styleId="EndnoteText">
    <w:name w:val="endnote text"/>
    <w:basedOn w:val="Normal"/>
    <w:link w:val="EndnoteTextChar"/>
    <w:semiHidden/>
    <w:unhideWhenUsed/>
    <w:rsid w:val="00D11D49"/>
  </w:style>
  <w:style w:type="character" w:customStyle="1" w:styleId="EndnoteTextChar">
    <w:name w:val="Endnote Text Char"/>
    <w:basedOn w:val="DefaultParagraphFont"/>
    <w:link w:val="EndnoteText"/>
    <w:semiHidden/>
    <w:rsid w:val="00D11D49"/>
    <w:rPr>
      <w:rFonts w:eastAsia="Times New Roman"/>
      <w:lang w:val="en-GB" w:eastAsia="en-US"/>
    </w:rPr>
  </w:style>
  <w:style w:type="paragraph" w:styleId="EnvelopeAddress">
    <w:name w:val="envelope address"/>
    <w:basedOn w:val="Normal"/>
    <w:semiHidden/>
    <w:unhideWhenUsed/>
    <w:rsid w:val="00D11D4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D11D49"/>
    <w:rPr>
      <w:rFonts w:asciiTheme="majorHAnsi" w:eastAsiaTheme="majorEastAsia" w:hAnsiTheme="majorHAnsi" w:cstheme="majorBidi"/>
    </w:rPr>
  </w:style>
  <w:style w:type="paragraph" w:styleId="FootnoteText">
    <w:name w:val="footnote text"/>
    <w:basedOn w:val="Normal"/>
    <w:link w:val="FootnoteTextChar"/>
    <w:semiHidden/>
    <w:unhideWhenUsed/>
    <w:rsid w:val="00D11D49"/>
  </w:style>
  <w:style w:type="character" w:customStyle="1" w:styleId="FootnoteTextChar">
    <w:name w:val="Footnote Text Char"/>
    <w:basedOn w:val="DefaultParagraphFont"/>
    <w:link w:val="FootnoteText"/>
    <w:semiHidden/>
    <w:rsid w:val="00D11D49"/>
    <w:rPr>
      <w:rFonts w:eastAsia="Times New Roman"/>
      <w:lang w:val="en-GB" w:eastAsia="en-US"/>
    </w:rPr>
  </w:style>
  <w:style w:type="table" w:styleId="GridTable1Light">
    <w:name w:val="Grid Table 1 Light"/>
    <w:basedOn w:val="TableNormal"/>
    <w:uiPriority w:val="46"/>
    <w:rsid w:val="00D11D4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11D4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11D4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11D4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11D4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11D4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11D4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11D4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11D4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11D4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11D4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11D4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11D4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11D4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11D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11D4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11D4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11D4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11D4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11D4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11D4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11D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11D4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11D4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11D4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11D4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11D4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11D4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D11D49"/>
    <w:rPr>
      <w:color w:val="2B579A"/>
      <w:shd w:val="clear" w:color="auto" w:fill="E1DFDD"/>
      <w:lang w:val="en-GB"/>
    </w:rPr>
  </w:style>
  <w:style w:type="character" w:styleId="HTMLAcronym">
    <w:name w:val="HTML Acronym"/>
    <w:basedOn w:val="DefaultParagraphFont"/>
    <w:semiHidden/>
    <w:unhideWhenUsed/>
    <w:rsid w:val="00D11D49"/>
    <w:rPr>
      <w:lang w:val="en-GB"/>
    </w:rPr>
  </w:style>
  <w:style w:type="paragraph" w:styleId="HTMLAddress">
    <w:name w:val="HTML Address"/>
    <w:basedOn w:val="Normal"/>
    <w:link w:val="HTMLAddressChar"/>
    <w:semiHidden/>
    <w:unhideWhenUsed/>
    <w:rsid w:val="00D11D49"/>
    <w:rPr>
      <w:i/>
      <w:iCs/>
    </w:rPr>
  </w:style>
  <w:style w:type="character" w:customStyle="1" w:styleId="HTMLAddressChar">
    <w:name w:val="HTML Address Char"/>
    <w:basedOn w:val="DefaultParagraphFont"/>
    <w:link w:val="HTMLAddress"/>
    <w:semiHidden/>
    <w:rsid w:val="00D11D49"/>
    <w:rPr>
      <w:rFonts w:eastAsia="Times New Roman"/>
      <w:i/>
      <w:iCs/>
      <w:lang w:val="en-GB" w:eastAsia="en-US"/>
    </w:rPr>
  </w:style>
  <w:style w:type="character" w:styleId="HTMLCite">
    <w:name w:val="HTML Cite"/>
    <w:basedOn w:val="DefaultParagraphFont"/>
    <w:semiHidden/>
    <w:unhideWhenUsed/>
    <w:rsid w:val="00D11D49"/>
    <w:rPr>
      <w:i/>
      <w:iCs/>
      <w:lang w:val="en-GB"/>
    </w:rPr>
  </w:style>
  <w:style w:type="character" w:styleId="HTMLCode">
    <w:name w:val="HTML Code"/>
    <w:basedOn w:val="DefaultParagraphFont"/>
    <w:semiHidden/>
    <w:unhideWhenUsed/>
    <w:rsid w:val="00D11D49"/>
    <w:rPr>
      <w:rFonts w:ascii="Consolas" w:hAnsi="Consolas"/>
      <w:sz w:val="20"/>
      <w:szCs w:val="20"/>
      <w:lang w:val="en-GB"/>
    </w:rPr>
  </w:style>
  <w:style w:type="character" w:styleId="HTMLDefinition">
    <w:name w:val="HTML Definition"/>
    <w:basedOn w:val="DefaultParagraphFont"/>
    <w:semiHidden/>
    <w:unhideWhenUsed/>
    <w:rsid w:val="00D11D49"/>
    <w:rPr>
      <w:i/>
      <w:iCs/>
      <w:lang w:val="en-GB"/>
    </w:rPr>
  </w:style>
  <w:style w:type="character" w:styleId="HTMLKeyboard">
    <w:name w:val="HTML Keyboard"/>
    <w:basedOn w:val="DefaultParagraphFont"/>
    <w:semiHidden/>
    <w:unhideWhenUsed/>
    <w:rsid w:val="00D11D49"/>
    <w:rPr>
      <w:rFonts w:ascii="Consolas" w:hAnsi="Consolas"/>
      <w:sz w:val="20"/>
      <w:szCs w:val="20"/>
      <w:lang w:val="en-GB"/>
    </w:rPr>
  </w:style>
  <w:style w:type="paragraph" w:styleId="HTMLPreformatted">
    <w:name w:val="HTML Preformatted"/>
    <w:basedOn w:val="Normal"/>
    <w:link w:val="HTMLPreformattedChar"/>
    <w:semiHidden/>
    <w:unhideWhenUsed/>
    <w:rsid w:val="00D11D49"/>
    <w:rPr>
      <w:rFonts w:ascii="Consolas" w:hAnsi="Consolas"/>
    </w:rPr>
  </w:style>
  <w:style w:type="character" w:customStyle="1" w:styleId="HTMLPreformattedChar">
    <w:name w:val="HTML Preformatted Char"/>
    <w:basedOn w:val="DefaultParagraphFont"/>
    <w:link w:val="HTMLPreformatted"/>
    <w:semiHidden/>
    <w:rsid w:val="00D11D49"/>
    <w:rPr>
      <w:rFonts w:ascii="Consolas" w:eastAsia="Times New Roman" w:hAnsi="Consolas"/>
      <w:lang w:val="en-GB" w:eastAsia="en-US"/>
    </w:rPr>
  </w:style>
  <w:style w:type="character" w:styleId="HTMLSample">
    <w:name w:val="HTML Sample"/>
    <w:basedOn w:val="DefaultParagraphFont"/>
    <w:semiHidden/>
    <w:unhideWhenUsed/>
    <w:rsid w:val="00D11D49"/>
    <w:rPr>
      <w:rFonts w:ascii="Consolas" w:hAnsi="Consolas"/>
      <w:sz w:val="24"/>
      <w:szCs w:val="24"/>
      <w:lang w:val="en-GB"/>
    </w:rPr>
  </w:style>
  <w:style w:type="character" w:styleId="HTMLTypewriter">
    <w:name w:val="HTML Typewriter"/>
    <w:basedOn w:val="DefaultParagraphFont"/>
    <w:semiHidden/>
    <w:unhideWhenUsed/>
    <w:rsid w:val="00D11D49"/>
    <w:rPr>
      <w:rFonts w:ascii="Consolas" w:hAnsi="Consolas"/>
      <w:sz w:val="20"/>
      <w:szCs w:val="20"/>
      <w:lang w:val="en-GB"/>
    </w:rPr>
  </w:style>
  <w:style w:type="character" w:styleId="HTMLVariable">
    <w:name w:val="HTML Variable"/>
    <w:basedOn w:val="DefaultParagraphFont"/>
    <w:semiHidden/>
    <w:unhideWhenUsed/>
    <w:rsid w:val="00D11D49"/>
    <w:rPr>
      <w:i/>
      <w:iCs/>
      <w:lang w:val="en-GB"/>
    </w:rPr>
  </w:style>
  <w:style w:type="paragraph" w:styleId="Index1">
    <w:name w:val="index 1"/>
    <w:basedOn w:val="Normal"/>
    <w:next w:val="Normal"/>
    <w:autoRedefine/>
    <w:semiHidden/>
    <w:unhideWhenUsed/>
    <w:rsid w:val="00D11D49"/>
    <w:pPr>
      <w:tabs>
        <w:tab w:val="clear" w:pos="1247"/>
      </w:tabs>
      <w:ind w:left="200" w:hanging="200"/>
    </w:pPr>
  </w:style>
  <w:style w:type="paragraph" w:styleId="Index2">
    <w:name w:val="index 2"/>
    <w:basedOn w:val="Normal"/>
    <w:next w:val="Normal"/>
    <w:autoRedefine/>
    <w:semiHidden/>
    <w:unhideWhenUsed/>
    <w:rsid w:val="00D11D49"/>
    <w:pPr>
      <w:tabs>
        <w:tab w:val="clear" w:pos="1247"/>
      </w:tabs>
      <w:ind w:left="400" w:hanging="200"/>
    </w:pPr>
  </w:style>
  <w:style w:type="paragraph" w:styleId="Index3">
    <w:name w:val="index 3"/>
    <w:basedOn w:val="Normal"/>
    <w:next w:val="Normal"/>
    <w:autoRedefine/>
    <w:semiHidden/>
    <w:unhideWhenUsed/>
    <w:rsid w:val="00D11D49"/>
    <w:pPr>
      <w:tabs>
        <w:tab w:val="clear" w:pos="1247"/>
      </w:tabs>
      <w:ind w:left="600" w:hanging="200"/>
    </w:pPr>
  </w:style>
  <w:style w:type="paragraph" w:styleId="Index4">
    <w:name w:val="index 4"/>
    <w:basedOn w:val="Normal"/>
    <w:next w:val="Normal"/>
    <w:autoRedefine/>
    <w:semiHidden/>
    <w:unhideWhenUsed/>
    <w:rsid w:val="00D11D49"/>
    <w:pPr>
      <w:tabs>
        <w:tab w:val="clear" w:pos="1247"/>
      </w:tabs>
      <w:ind w:left="800" w:hanging="200"/>
    </w:pPr>
  </w:style>
  <w:style w:type="paragraph" w:styleId="Index5">
    <w:name w:val="index 5"/>
    <w:basedOn w:val="Normal"/>
    <w:next w:val="Normal"/>
    <w:autoRedefine/>
    <w:semiHidden/>
    <w:unhideWhenUsed/>
    <w:rsid w:val="00D11D49"/>
    <w:pPr>
      <w:tabs>
        <w:tab w:val="clear" w:pos="1247"/>
      </w:tabs>
      <w:ind w:left="1000" w:hanging="200"/>
    </w:pPr>
  </w:style>
  <w:style w:type="paragraph" w:styleId="Index6">
    <w:name w:val="index 6"/>
    <w:basedOn w:val="Normal"/>
    <w:next w:val="Normal"/>
    <w:autoRedefine/>
    <w:semiHidden/>
    <w:unhideWhenUsed/>
    <w:rsid w:val="00D11D49"/>
    <w:pPr>
      <w:tabs>
        <w:tab w:val="clear" w:pos="1247"/>
      </w:tabs>
      <w:ind w:left="1200" w:hanging="200"/>
    </w:pPr>
  </w:style>
  <w:style w:type="paragraph" w:styleId="Index7">
    <w:name w:val="index 7"/>
    <w:basedOn w:val="Normal"/>
    <w:next w:val="Normal"/>
    <w:autoRedefine/>
    <w:semiHidden/>
    <w:unhideWhenUsed/>
    <w:rsid w:val="00D11D49"/>
    <w:pPr>
      <w:tabs>
        <w:tab w:val="clear" w:pos="1247"/>
      </w:tabs>
      <w:ind w:left="1400" w:hanging="200"/>
    </w:pPr>
  </w:style>
  <w:style w:type="paragraph" w:styleId="Index8">
    <w:name w:val="index 8"/>
    <w:basedOn w:val="Normal"/>
    <w:next w:val="Normal"/>
    <w:autoRedefine/>
    <w:semiHidden/>
    <w:unhideWhenUsed/>
    <w:rsid w:val="00D11D49"/>
    <w:pPr>
      <w:tabs>
        <w:tab w:val="clear" w:pos="1247"/>
      </w:tabs>
      <w:ind w:left="1600" w:hanging="200"/>
    </w:pPr>
  </w:style>
  <w:style w:type="paragraph" w:styleId="Index9">
    <w:name w:val="index 9"/>
    <w:basedOn w:val="Normal"/>
    <w:next w:val="Normal"/>
    <w:autoRedefine/>
    <w:semiHidden/>
    <w:unhideWhenUsed/>
    <w:rsid w:val="00D11D49"/>
    <w:pPr>
      <w:tabs>
        <w:tab w:val="clear" w:pos="1247"/>
      </w:tabs>
      <w:ind w:left="1800" w:hanging="200"/>
    </w:pPr>
  </w:style>
  <w:style w:type="paragraph" w:styleId="IndexHeading">
    <w:name w:val="index heading"/>
    <w:basedOn w:val="Normal"/>
    <w:next w:val="Index1"/>
    <w:semiHidden/>
    <w:unhideWhenUsed/>
    <w:rsid w:val="00D11D49"/>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11D49"/>
    <w:rPr>
      <w:i/>
      <w:iCs/>
      <w:color w:val="4F81BD" w:themeColor="accent1"/>
      <w:lang w:val="en-GB"/>
    </w:rPr>
  </w:style>
  <w:style w:type="paragraph" w:styleId="IntenseQuote">
    <w:name w:val="Intense Quote"/>
    <w:basedOn w:val="Normal"/>
    <w:next w:val="Normal"/>
    <w:link w:val="IntenseQuoteChar"/>
    <w:uiPriority w:val="30"/>
    <w:semiHidden/>
    <w:qFormat/>
    <w:rsid w:val="00D11D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D11D49"/>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D11D49"/>
    <w:rPr>
      <w:b/>
      <w:bCs/>
      <w:smallCaps/>
      <w:color w:val="4F81BD" w:themeColor="accent1"/>
      <w:spacing w:val="5"/>
      <w:lang w:val="en-GB"/>
    </w:rPr>
  </w:style>
  <w:style w:type="table" w:styleId="LightGrid">
    <w:name w:val="Light Grid"/>
    <w:basedOn w:val="TableNormal"/>
    <w:uiPriority w:val="62"/>
    <w:semiHidden/>
    <w:unhideWhenUsed/>
    <w:rsid w:val="00D11D4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11D4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11D4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11D4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11D4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11D4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11D4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11D4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11D4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11D4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11D4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11D4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11D4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11D4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11D4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11D4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11D4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11D4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11D4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11D4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11D4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D11D49"/>
    <w:rPr>
      <w:lang w:val="en-GB"/>
    </w:rPr>
  </w:style>
  <w:style w:type="paragraph" w:styleId="List">
    <w:name w:val="List"/>
    <w:basedOn w:val="Normal"/>
    <w:semiHidden/>
    <w:unhideWhenUsed/>
    <w:rsid w:val="00D11D49"/>
    <w:pPr>
      <w:ind w:left="283" w:hanging="283"/>
      <w:contextualSpacing/>
    </w:pPr>
  </w:style>
  <w:style w:type="paragraph" w:styleId="List2">
    <w:name w:val="List 2"/>
    <w:basedOn w:val="Normal"/>
    <w:semiHidden/>
    <w:unhideWhenUsed/>
    <w:rsid w:val="00D11D49"/>
    <w:pPr>
      <w:ind w:left="566" w:hanging="283"/>
      <w:contextualSpacing/>
    </w:pPr>
  </w:style>
  <w:style w:type="paragraph" w:styleId="List3">
    <w:name w:val="List 3"/>
    <w:basedOn w:val="Normal"/>
    <w:semiHidden/>
    <w:unhideWhenUsed/>
    <w:rsid w:val="00D11D49"/>
    <w:pPr>
      <w:ind w:left="849" w:hanging="283"/>
      <w:contextualSpacing/>
    </w:pPr>
  </w:style>
  <w:style w:type="paragraph" w:styleId="List4">
    <w:name w:val="List 4"/>
    <w:basedOn w:val="Normal"/>
    <w:semiHidden/>
    <w:unhideWhenUsed/>
    <w:rsid w:val="00D11D49"/>
    <w:pPr>
      <w:ind w:left="1132" w:hanging="283"/>
      <w:contextualSpacing/>
    </w:pPr>
  </w:style>
  <w:style w:type="paragraph" w:styleId="List5">
    <w:name w:val="List 5"/>
    <w:basedOn w:val="Normal"/>
    <w:semiHidden/>
    <w:unhideWhenUsed/>
    <w:rsid w:val="00D11D49"/>
    <w:pPr>
      <w:ind w:left="1415" w:hanging="283"/>
      <w:contextualSpacing/>
    </w:pPr>
  </w:style>
  <w:style w:type="paragraph" w:styleId="ListBullet">
    <w:name w:val="List Bullet"/>
    <w:basedOn w:val="Normal"/>
    <w:semiHidden/>
    <w:rsid w:val="00D11D49"/>
    <w:pPr>
      <w:numPr>
        <w:numId w:val="6"/>
      </w:numPr>
      <w:contextualSpacing/>
    </w:pPr>
  </w:style>
  <w:style w:type="paragraph" w:styleId="ListBullet2">
    <w:name w:val="List Bullet 2"/>
    <w:basedOn w:val="Normal"/>
    <w:semiHidden/>
    <w:unhideWhenUsed/>
    <w:rsid w:val="00D11D49"/>
    <w:pPr>
      <w:numPr>
        <w:numId w:val="7"/>
      </w:numPr>
      <w:contextualSpacing/>
    </w:pPr>
  </w:style>
  <w:style w:type="paragraph" w:styleId="ListBullet3">
    <w:name w:val="List Bullet 3"/>
    <w:basedOn w:val="Normal"/>
    <w:semiHidden/>
    <w:unhideWhenUsed/>
    <w:rsid w:val="00D11D49"/>
    <w:pPr>
      <w:numPr>
        <w:numId w:val="8"/>
      </w:numPr>
      <w:contextualSpacing/>
    </w:pPr>
  </w:style>
  <w:style w:type="paragraph" w:styleId="ListBullet4">
    <w:name w:val="List Bullet 4"/>
    <w:basedOn w:val="Normal"/>
    <w:semiHidden/>
    <w:unhideWhenUsed/>
    <w:rsid w:val="00D11D49"/>
    <w:pPr>
      <w:numPr>
        <w:numId w:val="9"/>
      </w:numPr>
      <w:contextualSpacing/>
    </w:pPr>
  </w:style>
  <w:style w:type="paragraph" w:styleId="ListBullet5">
    <w:name w:val="List Bullet 5"/>
    <w:basedOn w:val="Normal"/>
    <w:semiHidden/>
    <w:unhideWhenUsed/>
    <w:rsid w:val="00D11D49"/>
    <w:pPr>
      <w:numPr>
        <w:numId w:val="10"/>
      </w:numPr>
      <w:contextualSpacing/>
    </w:pPr>
  </w:style>
  <w:style w:type="paragraph" w:styleId="ListContinue">
    <w:name w:val="List Continue"/>
    <w:basedOn w:val="Normal"/>
    <w:semiHidden/>
    <w:unhideWhenUsed/>
    <w:rsid w:val="00D11D49"/>
    <w:pPr>
      <w:spacing w:after="120"/>
      <w:ind w:left="283"/>
      <w:contextualSpacing/>
    </w:pPr>
  </w:style>
  <w:style w:type="paragraph" w:styleId="ListContinue2">
    <w:name w:val="List Continue 2"/>
    <w:basedOn w:val="Normal"/>
    <w:semiHidden/>
    <w:unhideWhenUsed/>
    <w:rsid w:val="00D11D49"/>
    <w:pPr>
      <w:spacing w:after="120"/>
      <w:ind w:left="566"/>
      <w:contextualSpacing/>
    </w:pPr>
  </w:style>
  <w:style w:type="paragraph" w:styleId="ListContinue3">
    <w:name w:val="List Continue 3"/>
    <w:basedOn w:val="Normal"/>
    <w:semiHidden/>
    <w:rsid w:val="00D11D49"/>
    <w:pPr>
      <w:spacing w:after="120"/>
      <w:ind w:left="849"/>
      <w:contextualSpacing/>
    </w:pPr>
  </w:style>
  <w:style w:type="paragraph" w:styleId="ListContinue4">
    <w:name w:val="List Continue 4"/>
    <w:basedOn w:val="Normal"/>
    <w:semiHidden/>
    <w:rsid w:val="00D11D49"/>
    <w:pPr>
      <w:spacing w:after="120"/>
      <w:ind w:left="1132"/>
      <w:contextualSpacing/>
    </w:pPr>
  </w:style>
  <w:style w:type="paragraph" w:styleId="ListContinue5">
    <w:name w:val="List Continue 5"/>
    <w:basedOn w:val="Normal"/>
    <w:semiHidden/>
    <w:rsid w:val="00D11D49"/>
    <w:pPr>
      <w:spacing w:after="120"/>
      <w:ind w:left="1415"/>
      <w:contextualSpacing/>
    </w:pPr>
  </w:style>
  <w:style w:type="paragraph" w:styleId="ListNumber">
    <w:name w:val="List Number"/>
    <w:basedOn w:val="Normal"/>
    <w:semiHidden/>
    <w:rsid w:val="00D11D49"/>
    <w:pPr>
      <w:numPr>
        <w:numId w:val="11"/>
      </w:numPr>
      <w:contextualSpacing/>
    </w:pPr>
  </w:style>
  <w:style w:type="paragraph" w:styleId="ListNumber2">
    <w:name w:val="List Number 2"/>
    <w:basedOn w:val="Normal"/>
    <w:semiHidden/>
    <w:unhideWhenUsed/>
    <w:rsid w:val="00D11D49"/>
    <w:pPr>
      <w:numPr>
        <w:numId w:val="12"/>
      </w:numPr>
      <w:contextualSpacing/>
    </w:pPr>
  </w:style>
  <w:style w:type="paragraph" w:styleId="ListNumber3">
    <w:name w:val="List Number 3"/>
    <w:basedOn w:val="Normal"/>
    <w:semiHidden/>
    <w:unhideWhenUsed/>
    <w:rsid w:val="00D11D49"/>
    <w:pPr>
      <w:numPr>
        <w:numId w:val="13"/>
      </w:numPr>
      <w:contextualSpacing/>
    </w:pPr>
  </w:style>
  <w:style w:type="paragraph" w:styleId="ListNumber4">
    <w:name w:val="List Number 4"/>
    <w:basedOn w:val="Normal"/>
    <w:semiHidden/>
    <w:unhideWhenUsed/>
    <w:rsid w:val="00D11D49"/>
    <w:pPr>
      <w:numPr>
        <w:numId w:val="14"/>
      </w:numPr>
      <w:contextualSpacing/>
    </w:pPr>
  </w:style>
  <w:style w:type="paragraph" w:styleId="ListNumber5">
    <w:name w:val="List Number 5"/>
    <w:basedOn w:val="Normal"/>
    <w:semiHidden/>
    <w:unhideWhenUsed/>
    <w:rsid w:val="00D11D49"/>
    <w:pPr>
      <w:numPr>
        <w:numId w:val="15"/>
      </w:numPr>
      <w:contextualSpacing/>
    </w:pPr>
  </w:style>
  <w:style w:type="table" w:styleId="ListTable1Light">
    <w:name w:val="List Table 1 Light"/>
    <w:basedOn w:val="TableNormal"/>
    <w:uiPriority w:val="46"/>
    <w:rsid w:val="00D11D4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11D4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11D4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11D4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11D4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11D4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11D4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11D4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11D4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11D4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11D4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11D4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11D4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11D4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11D4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11D4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11D4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11D4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11D4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11D4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11D4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11D4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11D4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11D4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11D4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11D4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11D4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11D4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11D4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11D4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11D4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11D4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11D4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11D4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11D4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11D4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11D4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11D4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11D4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11D4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11D4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11D4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D11D49"/>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D11D49"/>
    <w:rPr>
      <w:rFonts w:ascii="Consolas" w:eastAsia="Times New Roman" w:hAnsi="Consolas"/>
      <w:lang w:val="en-GB" w:eastAsia="en-US"/>
    </w:rPr>
  </w:style>
  <w:style w:type="table" w:styleId="MediumGrid1">
    <w:name w:val="Medium Grid 1"/>
    <w:basedOn w:val="TableNormal"/>
    <w:uiPriority w:val="67"/>
    <w:semiHidden/>
    <w:unhideWhenUsed/>
    <w:rsid w:val="00D11D4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11D4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11D4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11D4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11D4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11D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11D4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11D4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11D4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11D4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11D4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11D4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11D4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11D4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11D4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11D4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11D4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11D4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11D4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11D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11D4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D11D49"/>
    <w:rPr>
      <w:color w:val="2B579A"/>
      <w:shd w:val="clear" w:color="auto" w:fill="E1DFDD"/>
      <w:lang w:val="en-GB"/>
    </w:rPr>
  </w:style>
  <w:style w:type="paragraph" w:styleId="MessageHeader">
    <w:name w:val="Message Header"/>
    <w:basedOn w:val="Normal"/>
    <w:link w:val="MessageHeaderChar"/>
    <w:semiHidden/>
    <w:rsid w:val="00D11D4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D11D49"/>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D11D49"/>
    <w:pPr>
      <w:ind w:left="720"/>
    </w:pPr>
  </w:style>
  <w:style w:type="paragraph" w:styleId="NoteHeading">
    <w:name w:val="Note Heading"/>
    <w:basedOn w:val="Normal"/>
    <w:next w:val="Normal"/>
    <w:link w:val="NoteHeadingChar"/>
    <w:semiHidden/>
    <w:unhideWhenUsed/>
    <w:rsid w:val="00D11D49"/>
  </w:style>
  <w:style w:type="character" w:customStyle="1" w:styleId="NoteHeadingChar">
    <w:name w:val="Note Heading Char"/>
    <w:basedOn w:val="DefaultParagraphFont"/>
    <w:link w:val="NoteHeading"/>
    <w:semiHidden/>
    <w:rsid w:val="00D11D49"/>
    <w:rPr>
      <w:rFonts w:eastAsia="Times New Roman"/>
      <w:lang w:val="en-GB" w:eastAsia="en-US"/>
    </w:rPr>
  </w:style>
  <w:style w:type="table" w:styleId="PlainTable1">
    <w:name w:val="Plain Table 1"/>
    <w:basedOn w:val="TableNormal"/>
    <w:uiPriority w:val="41"/>
    <w:rsid w:val="00D11D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11D4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11D49"/>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11D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11D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D11D49"/>
    <w:rPr>
      <w:rFonts w:ascii="Consolas" w:hAnsi="Consolas"/>
      <w:sz w:val="21"/>
      <w:szCs w:val="21"/>
    </w:rPr>
  </w:style>
  <w:style w:type="character" w:customStyle="1" w:styleId="PlainTextChar">
    <w:name w:val="Plain Text Char"/>
    <w:basedOn w:val="DefaultParagraphFont"/>
    <w:link w:val="PlainText"/>
    <w:semiHidden/>
    <w:rsid w:val="00D11D49"/>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D11D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11D49"/>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D11D49"/>
  </w:style>
  <w:style w:type="character" w:customStyle="1" w:styleId="SalutationChar">
    <w:name w:val="Salutation Char"/>
    <w:basedOn w:val="DefaultParagraphFont"/>
    <w:link w:val="Salutation"/>
    <w:semiHidden/>
    <w:rsid w:val="00D11D49"/>
    <w:rPr>
      <w:rFonts w:eastAsia="Times New Roman"/>
      <w:lang w:val="en-GB" w:eastAsia="en-US"/>
    </w:rPr>
  </w:style>
  <w:style w:type="paragraph" w:styleId="Signature">
    <w:name w:val="Signature"/>
    <w:basedOn w:val="Normal"/>
    <w:link w:val="SignatureChar"/>
    <w:semiHidden/>
    <w:unhideWhenUsed/>
    <w:rsid w:val="00D11D49"/>
    <w:pPr>
      <w:ind w:left="4252"/>
    </w:pPr>
  </w:style>
  <w:style w:type="character" w:customStyle="1" w:styleId="SignatureChar">
    <w:name w:val="Signature Char"/>
    <w:basedOn w:val="DefaultParagraphFont"/>
    <w:link w:val="Signature"/>
    <w:semiHidden/>
    <w:rsid w:val="00D11D49"/>
    <w:rPr>
      <w:rFonts w:eastAsia="Times New Roman"/>
      <w:lang w:val="en-GB" w:eastAsia="en-US"/>
    </w:rPr>
  </w:style>
  <w:style w:type="character" w:styleId="SmartHyperlink">
    <w:name w:val="Smart Hyperlink"/>
    <w:basedOn w:val="DefaultParagraphFont"/>
    <w:uiPriority w:val="99"/>
    <w:semiHidden/>
    <w:rsid w:val="00D11D49"/>
    <w:rPr>
      <w:u w:val="dotted"/>
      <w:lang w:val="en-GB"/>
    </w:rPr>
  </w:style>
  <w:style w:type="character" w:styleId="SmartLink">
    <w:name w:val="Smart Link"/>
    <w:basedOn w:val="DefaultParagraphFont"/>
    <w:uiPriority w:val="99"/>
    <w:semiHidden/>
    <w:unhideWhenUsed/>
    <w:rsid w:val="00D11D49"/>
    <w:rPr>
      <w:color w:val="0000FF"/>
      <w:u w:val="single"/>
      <w:shd w:val="clear" w:color="auto" w:fill="F3F2F1"/>
      <w:lang w:val="en-GB"/>
    </w:rPr>
  </w:style>
  <w:style w:type="character" w:styleId="Strong">
    <w:name w:val="Strong"/>
    <w:basedOn w:val="DefaultParagraphFont"/>
    <w:semiHidden/>
    <w:qFormat/>
    <w:rsid w:val="00D11D49"/>
    <w:rPr>
      <w:b/>
      <w:bCs/>
      <w:lang w:val="en-GB"/>
    </w:rPr>
  </w:style>
  <w:style w:type="paragraph" w:styleId="Subtitle">
    <w:name w:val="Subtitle"/>
    <w:basedOn w:val="Normal"/>
    <w:next w:val="Normal"/>
    <w:link w:val="SubtitleChar"/>
    <w:semiHidden/>
    <w:qFormat/>
    <w:rsid w:val="00D11D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D11D49"/>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D11D49"/>
    <w:rPr>
      <w:i/>
      <w:iCs/>
      <w:color w:val="404040" w:themeColor="text1" w:themeTint="BF"/>
      <w:lang w:val="en-GB"/>
    </w:rPr>
  </w:style>
  <w:style w:type="character" w:styleId="SubtleReference">
    <w:name w:val="Subtle Reference"/>
    <w:basedOn w:val="DefaultParagraphFont"/>
    <w:uiPriority w:val="31"/>
    <w:semiHidden/>
    <w:qFormat/>
    <w:rsid w:val="00D11D49"/>
    <w:rPr>
      <w:smallCaps/>
      <w:color w:val="5A5A5A" w:themeColor="text1" w:themeTint="A5"/>
      <w:lang w:val="en-GB"/>
    </w:rPr>
  </w:style>
  <w:style w:type="table" w:styleId="Table3Deffects1">
    <w:name w:val="Table 3D effects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11D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D11D49"/>
    <w:pPr>
      <w:tabs>
        <w:tab w:val="clear" w:pos="1247"/>
      </w:tabs>
      <w:ind w:left="200" w:hanging="200"/>
    </w:pPr>
  </w:style>
  <w:style w:type="table" w:styleId="TableProfessional">
    <w:name w:val="Table Professional"/>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D11D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D11D49"/>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D11D4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11D49"/>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F43ADF"/>
    <w:rPr>
      <w:rFonts w:eastAsia="Times New Roman"/>
      <w:lang w:val="en-GB" w:eastAsia="en-US"/>
    </w:rPr>
  </w:style>
  <w:style w:type="character" w:customStyle="1" w:styleId="Normal-poolChar">
    <w:name w:val="Normal-pool Char"/>
    <w:link w:val="Normal-pool"/>
    <w:locked/>
    <w:rsid w:val="000569F3"/>
    <w:rPr>
      <w:rFonts w:eastAsia="Times New Roman"/>
      <w:lang w:val="en-GB" w:eastAsia="en-US"/>
    </w:rPr>
  </w:style>
  <w:style w:type="character" w:customStyle="1" w:styleId="CH2Char">
    <w:name w:val="CH2 Char"/>
    <w:link w:val="CH2"/>
    <w:locked/>
    <w:rsid w:val="000569F3"/>
    <w:rPr>
      <w:rFonts w:eastAsia="Times New Roman"/>
      <w:b/>
      <w:sz w:val="24"/>
      <w:szCs w:val="24"/>
      <w:lang w:val="en-GB" w:eastAsia="en-US"/>
    </w:rPr>
  </w:style>
  <w:style w:type="paragraph" w:styleId="Revision">
    <w:name w:val="Revision"/>
    <w:hidden/>
    <w:uiPriority w:val="99"/>
    <w:semiHidden/>
    <w:rsid w:val="0042456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07A6F0-3700-4424-AA8D-1BDA14DB8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6</TotalTime>
  <Pages>7</Pages>
  <Words>3781</Words>
  <Characters>20798</Characters>
  <Application>Microsoft Office Word</Application>
  <DocSecurity>0</DocSecurity>
  <PresentationFormat/>
  <Lines>173</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Socorro Manguiat</dc:creator>
  <cp:keywords/>
  <dc:description/>
  <cp:lastModifiedBy>Jimena Vallejo Montes</cp:lastModifiedBy>
  <cp:revision>2</cp:revision>
  <cp:lastPrinted>2010-07-07T20:56:00Z</cp:lastPrinted>
  <dcterms:created xsi:type="dcterms:W3CDTF">2026-11-02T07:45:00Z</dcterms:created>
  <dcterms:modified xsi:type="dcterms:W3CDTF">2026-11-02T07:45:00Z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y fmtid="{D5CDD505-2E9C-101B-9397-08002B2CF9AE}" pid="15" name="TranslatedWith">
    <vt:lpwstr>Mercury</vt:lpwstr>
  </property>
  <property fmtid="{D5CDD505-2E9C-101B-9397-08002B2CF9AE}" pid="16" name="GeneratedBy">
    <vt:lpwstr>pablo.alvarez@un.org</vt:lpwstr>
  </property>
  <property fmtid="{D5CDD505-2E9C-101B-9397-08002B2CF9AE}" pid="17" name="GeneratedDate">
    <vt:lpwstr>11/01/2026 16:48:58</vt:lpwstr>
  </property>
  <property fmtid="{D5CDD505-2E9C-101B-9397-08002B2CF9AE}" pid="18" name="OriginalDocID">
    <vt:lpwstr>2310eead-b622-4638-886f-48dcd4ac63b4</vt:lpwstr>
  </property>
</Properties>
</file>