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5A4D00" w:rsidRPr="005A4D00" w14:paraId="2C0DB056" w14:textId="77777777" w:rsidTr="009A64A7">
        <w:trPr>
          <w:trHeight w:val="340"/>
        </w:trPr>
        <w:tc>
          <w:tcPr>
            <w:tcW w:w="1559" w:type="dxa"/>
          </w:tcPr>
          <w:p w14:paraId="26621D1F" w14:textId="77777777" w:rsidR="005A4D00" w:rsidRPr="005A4D00" w:rsidRDefault="005A4D00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4819" w:type="dxa"/>
          </w:tcPr>
          <w:p w14:paraId="1D03E93C" w14:textId="77777777" w:rsidR="005A4D00" w:rsidRPr="005A4D00" w:rsidRDefault="005A4D00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3A175466" w14:textId="77777777" w:rsidR="005A4D00" w:rsidRPr="005A4D00" w:rsidRDefault="005A4D00" w:rsidP="009A64A7">
            <w:pPr>
              <w:pStyle w:val="Normal-pool"/>
              <w:rPr>
                <w:lang w:val="es-ES_tradnl"/>
              </w:rPr>
            </w:pPr>
          </w:p>
        </w:tc>
      </w:tr>
    </w:tbl>
    <w:p w14:paraId="2432A092" w14:textId="77777777" w:rsidR="005A4D00" w:rsidRPr="005A4D00" w:rsidRDefault="005A4D00" w:rsidP="005A4D00">
      <w:pPr>
        <w:pStyle w:val="ASpacer"/>
        <w:rPr>
          <w:lang w:val="es-ES_tradnl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5A4D00" w:rsidRPr="005A4D00" w14:paraId="1FE9B327" w14:textId="77777777" w:rsidTr="009A64A7">
        <w:trPr>
          <w:trHeight w:val="340"/>
        </w:trPr>
        <w:tc>
          <w:tcPr>
            <w:tcW w:w="3358" w:type="pct"/>
            <w:vAlign w:val="bottom"/>
          </w:tcPr>
          <w:p w14:paraId="4546C5E6" w14:textId="77777777" w:rsidR="005A4D00" w:rsidRPr="005A4D00" w:rsidRDefault="005A4D00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1642" w:type="pct"/>
            <w:noWrap/>
            <w:vAlign w:val="bottom"/>
          </w:tcPr>
          <w:p w14:paraId="4722DF9F" w14:textId="50035A69" w:rsidR="005A4D00" w:rsidRPr="005A4D00" w:rsidRDefault="005A4D00" w:rsidP="009A64A7">
            <w:pPr>
              <w:pStyle w:val="ASymbol"/>
              <w:rPr>
                <w:lang w:val="es-ES_tradnl"/>
              </w:rPr>
            </w:pPr>
            <w:r w:rsidRPr="005A4D00">
              <w:rPr>
                <w:b/>
                <w:sz w:val="28"/>
                <w:lang w:val="es-ES_tradnl"/>
              </w:rPr>
              <w:t>UNEP</w:t>
            </w:r>
            <w:r w:rsidRPr="005A4D00">
              <w:rPr>
                <w:lang w:val="es-ES_tradnl"/>
              </w:rPr>
              <w:t>/OzL.Pro.</w:t>
            </w:r>
            <w:bookmarkStart w:id="0" w:name="Symbol1A"/>
            <w:r w:rsidRPr="005A4D00">
              <w:rPr>
                <w:lang w:val="es-ES_tradnl"/>
              </w:rPr>
              <w:t>38</w:t>
            </w:r>
            <w:bookmarkEnd w:id="0"/>
            <w:r w:rsidRPr="005A4D00">
              <w:rPr>
                <w:lang w:val="es-ES_tradnl"/>
              </w:rPr>
              <w:t>/CRP.</w:t>
            </w:r>
            <w:r w:rsidRPr="005A4D00">
              <w:rPr>
                <w:lang w:val="es-ES_tradnl"/>
              </w:rPr>
              <w:t>2</w:t>
            </w:r>
          </w:p>
        </w:tc>
      </w:tr>
    </w:tbl>
    <w:p w14:paraId="638A9138" w14:textId="77777777" w:rsidR="005A4D00" w:rsidRPr="005A4D00" w:rsidRDefault="005A4D00" w:rsidP="005A4D00">
      <w:pPr>
        <w:pStyle w:val="ASpacer"/>
        <w:rPr>
          <w:lang w:val="es-ES_tradnl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5A4D00" w:rsidRPr="005A4D00" w14:paraId="79E5EC88" w14:textId="77777777" w:rsidTr="009A64A7">
        <w:trPr>
          <w:trHeight w:val="2098"/>
        </w:trPr>
        <w:tc>
          <w:tcPr>
            <w:tcW w:w="5102" w:type="dxa"/>
          </w:tcPr>
          <w:p w14:paraId="55F1F812" w14:textId="77777777" w:rsidR="005A4D00" w:rsidRPr="005A4D00" w:rsidRDefault="005A4D00" w:rsidP="009A64A7">
            <w:pPr>
              <w:pStyle w:val="AConvName"/>
              <w:rPr>
                <w:lang w:val="es-ES_tradnl"/>
              </w:rPr>
            </w:pPr>
            <w:r w:rsidRPr="005A4D00">
              <w:rPr>
                <w:lang w:val="es-ES_tradnl"/>
              </w:rPr>
              <w:t xml:space="preserve">Programa de las </w:t>
            </w:r>
            <w:r w:rsidRPr="005A4D00">
              <w:rPr>
                <w:lang w:val="es-ES_tradnl"/>
              </w:rPr>
              <w:br/>
              <w:t xml:space="preserve">Naciones Unidas </w:t>
            </w:r>
            <w:r w:rsidRPr="005A4D00">
              <w:rPr>
                <w:lang w:val="es-ES_tradnl"/>
              </w:rPr>
              <w:br/>
              <w:t>para el Medio Ambiente</w:t>
            </w:r>
          </w:p>
        </w:tc>
        <w:tc>
          <w:tcPr>
            <w:tcW w:w="1276" w:type="dxa"/>
          </w:tcPr>
          <w:p w14:paraId="3EC6A581" w14:textId="77777777" w:rsidR="005A4D00" w:rsidRPr="005A4D00" w:rsidRDefault="005A4D00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07971B07" w14:textId="77777777" w:rsidR="005A4D00" w:rsidRPr="005A4D00" w:rsidRDefault="005A4D00" w:rsidP="009A64A7">
            <w:pPr>
              <w:pStyle w:val="AText"/>
              <w:rPr>
                <w:rFonts w:eastAsiaTheme="minorEastAsia"/>
                <w:color w:val="000000"/>
                <w:lang w:val="es-ES_tradnl"/>
              </w:rPr>
            </w:pPr>
            <w:r w:rsidRPr="005A4D00">
              <w:rPr>
                <w:rFonts w:eastAsiaTheme="minorEastAsia"/>
                <w:color w:val="000000"/>
                <w:lang w:val="es-ES_tradnl"/>
              </w:rPr>
              <w:t xml:space="preserve">2 de noviembre de 2026 </w:t>
            </w:r>
            <w:bookmarkStart w:id="1" w:name="DistributionLang"/>
          </w:p>
          <w:p w14:paraId="46A66E65" w14:textId="59936BB0" w:rsidR="005A4D00" w:rsidRPr="005A4D00" w:rsidRDefault="005A4D00" w:rsidP="009A64A7">
            <w:pPr>
              <w:pStyle w:val="AText"/>
              <w:rPr>
                <w:lang w:val="es-ES_tradnl"/>
              </w:rPr>
            </w:pPr>
            <w:r w:rsidRPr="005A4D00">
              <w:rPr>
                <w:lang w:val="es-ES_tradnl"/>
              </w:rPr>
              <w:t xml:space="preserve">Español </w:t>
            </w:r>
            <w:r w:rsidRPr="005A4D00">
              <w:rPr>
                <w:lang w:val="es-ES_tradnl"/>
              </w:rPr>
              <w:br/>
              <w:t>Original: inglés</w:t>
            </w:r>
            <w:bookmarkEnd w:id="1"/>
          </w:p>
        </w:tc>
      </w:tr>
    </w:tbl>
    <w:p w14:paraId="04B0276E" w14:textId="77777777" w:rsidR="005A4D00" w:rsidRPr="005A4D00" w:rsidRDefault="005A4D00" w:rsidP="005A4D00">
      <w:pPr>
        <w:pStyle w:val="ASpacer"/>
        <w:rPr>
          <w:lang w:val="es-ES_tradnl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5A4D00" w:rsidRPr="005A4D00" w14:paraId="7E2426EE" w14:textId="77777777" w:rsidTr="009A64A7">
        <w:trPr>
          <w:trHeight w:val="57"/>
        </w:trPr>
        <w:tc>
          <w:tcPr>
            <w:tcW w:w="5528" w:type="dxa"/>
          </w:tcPr>
          <w:p w14:paraId="74E54A8D" w14:textId="77777777" w:rsidR="005A4D00" w:rsidRPr="005A4D00" w:rsidRDefault="005A4D00" w:rsidP="009A64A7">
            <w:pPr>
              <w:pStyle w:val="AATitle"/>
              <w:rPr>
                <w:lang w:val="es-ES_tradnl"/>
              </w:rPr>
            </w:pPr>
            <w:r w:rsidRPr="005A4D00">
              <w:rPr>
                <w:lang w:val="es-ES_tradnl"/>
              </w:rPr>
              <w:t xml:space="preserve">38ª Reunión de las Partes en el Protocolo </w:t>
            </w:r>
            <w:r w:rsidRPr="005A4D00">
              <w:rPr>
                <w:lang w:val="es-ES_tradnl"/>
              </w:rPr>
              <w:br/>
              <w:t xml:space="preserve">de Montreal relativo a las Sustancias que Agotan </w:t>
            </w:r>
            <w:r w:rsidRPr="005A4D00">
              <w:rPr>
                <w:lang w:val="es-ES_tradnl"/>
              </w:rPr>
              <w:br/>
              <w:t xml:space="preserve">la Capa de Ozono </w:t>
            </w:r>
          </w:p>
          <w:p w14:paraId="1B69E7C7" w14:textId="77777777" w:rsidR="005A4D00" w:rsidRPr="005A4D00" w:rsidRDefault="005A4D00" w:rsidP="009A64A7">
            <w:pPr>
              <w:pStyle w:val="AATitle1"/>
              <w:rPr>
                <w:lang w:val="es-ES_tradnl"/>
              </w:rPr>
            </w:pPr>
            <w:r w:rsidRPr="005A4D00">
              <w:rPr>
                <w:lang w:val="es-ES_tradnl"/>
              </w:rPr>
              <w:t xml:space="preserve">Kigali, 2 a 6 de noviembre de 2026 </w:t>
            </w:r>
          </w:p>
          <w:p w14:paraId="22F657BC" w14:textId="77777777" w:rsidR="005A4D00" w:rsidRPr="005A4D00" w:rsidRDefault="005A4D00" w:rsidP="005A4D00">
            <w:pPr>
              <w:pStyle w:val="AATitle1"/>
              <w:rPr>
                <w:rFonts w:eastAsiaTheme="minorEastAsia"/>
                <w:lang w:val="es-ES_tradnl"/>
              </w:rPr>
            </w:pPr>
            <w:r w:rsidRPr="005A4D00">
              <w:rPr>
                <w:rFonts w:eastAsiaTheme="minorEastAsia"/>
                <w:color w:val="000000"/>
                <w:lang w:val="es-ES_tradnl"/>
              </w:rPr>
              <w:t>Tema 8 del programa de la serie de sesiones preparatorias</w:t>
            </w:r>
          </w:p>
          <w:p w14:paraId="5C72D48B" w14:textId="5F909D50" w:rsidR="005A4D00" w:rsidRPr="005A4D00" w:rsidRDefault="005A4D00" w:rsidP="005A4D00">
            <w:pPr>
              <w:pStyle w:val="AATitle2"/>
              <w:rPr>
                <w:lang w:val="es-ES_tradnl"/>
              </w:rPr>
            </w:pPr>
            <w:r w:rsidRPr="005A4D00">
              <w:rPr>
                <w:rFonts w:eastAsiaTheme="minorEastAsia"/>
                <w:bCs/>
                <w:color w:val="000000"/>
                <w:lang w:val="es-ES_tradnl"/>
              </w:rPr>
              <w:t>Mejora de la vigilancia atmosférica regional de sustancias controladas por el Protocolo de Montreal</w:t>
            </w:r>
          </w:p>
        </w:tc>
        <w:tc>
          <w:tcPr>
            <w:tcW w:w="3969" w:type="dxa"/>
          </w:tcPr>
          <w:p w14:paraId="3C50ADB1" w14:textId="77777777" w:rsidR="005A4D00" w:rsidRPr="005A4D00" w:rsidRDefault="005A4D00" w:rsidP="009A64A7">
            <w:pPr>
              <w:pStyle w:val="Normal-pool"/>
              <w:rPr>
                <w:lang w:val="es-ES_tradnl"/>
              </w:rPr>
            </w:pPr>
          </w:p>
        </w:tc>
      </w:tr>
    </w:tbl>
    <w:p w14:paraId="606B0E6F" w14:textId="5FEB68D3" w:rsidR="00026A85" w:rsidRPr="005A4D00" w:rsidRDefault="004D530B" w:rsidP="00670E7C">
      <w:pPr>
        <w:pStyle w:val="BBTitle"/>
        <w:rPr>
          <w:rFonts w:eastAsiaTheme="minorEastAsia"/>
          <w:lang w:val="es-ES_tradnl"/>
        </w:rPr>
      </w:pPr>
      <w:r w:rsidRPr="005A4D00">
        <w:rPr>
          <w:bCs/>
          <w:lang w:val="es-ES_tradnl"/>
        </w:rPr>
        <w:t>Proyecto de decisión XXXVI</w:t>
      </w:r>
      <w:r w:rsidR="00FD1A0F" w:rsidRPr="005A4D00">
        <w:rPr>
          <w:bCs/>
          <w:lang w:val="es-ES_tradnl"/>
        </w:rPr>
        <w:t>II</w:t>
      </w:r>
      <w:r w:rsidRPr="005A4D00">
        <w:rPr>
          <w:bCs/>
          <w:lang w:val="es-ES_tradnl"/>
        </w:rPr>
        <w:t>/[--]: mejora de la vigilancia atmosférica regional de sustancias controladas por el Protocolo de Montreal relativo a las Sustancias que Agotan la Capa de</w:t>
      </w:r>
      <w:r w:rsidR="005A4D00">
        <w:rPr>
          <w:bCs/>
          <w:lang w:val="es-ES_tradnl"/>
        </w:rPr>
        <w:t> </w:t>
      </w:r>
      <w:r w:rsidRPr="005A4D00">
        <w:rPr>
          <w:bCs/>
          <w:lang w:val="es-ES_tradnl"/>
        </w:rPr>
        <w:t>Ozono</w:t>
      </w:r>
    </w:p>
    <w:p w14:paraId="4EDBFD8C" w14:textId="42B09743" w:rsidR="00026A85" w:rsidRPr="005A4D00" w:rsidRDefault="00670E7C" w:rsidP="00670E7C">
      <w:pPr>
        <w:pStyle w:val="CH2"/>
        <w:rPr>
          <w:rFonts w:eastAsiaTheme="minorEastAsia"/>
          <w:lang w:val="es-ES_tradnl"/>
        </w:rPr>
      </w:pPr>
      <w:r w:rsidRPr="005A4D00">
        <w:rPr>
          <w:rFonts w:eastAsiaTheme="minorEastAsia"/>
          <w:lang w:val="es-ES_tradnl"/>
        </w:rPr>
        <w:tab/>
      </w:r>
      <w:r w:rsidRPr="005A4D00">
        <w:rPr>
          <w:rFonts w:eastAsiaTheme="minorEastAsia"/>
          <w:lang w:val="es-ES_tradnl"/>
        </w:rPr>
        <w:tab/>
      </w:r>
      <w:r w:rsidRPr="005A4D00">
        <w:rPr>
          <w:rFonts w:eastAsiaTheme="minorEastAsia"/>
          <w:bCs/>
          <w:lang w:val="es-ES_tradnl"/>
        </w:rPr>
        <w:t>Presentación de la Unión Europea</w:t>
      </w:r>
    </w:p>
    <w:p w14:paraId="0DD2F085" w14:textId="5D9035B3" w:rsidR="002E470B" w:rsidRPr="005A4D00" w:rsidRDefault="002E470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596"/>
        <w:rPr>
          <w:i/>
          <w:iCs/>
          <w:lang w:val="es-ES_tradnl"/>
        </w:rPr>
      </w:pPr>
      <w:r w:rsidRPr="005A4D00">
        <w:rPr>
          <w:i/>
          <w:iCs/>
          <w:lang w:val="es-ES_tradnl"/>
        </w:rPr>
        <w:t>La 38ª Reunión de las Partes,</w:t>
      </w:r>
    </w:p>
    <w:p w14:paraId="19DCF16E" w14:textId="4AA76A6C" w:rsidR="003E795B" w:rsidRPr="005A4D00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 xml:space="preserve">Recordando </w:t>
      </w:r>
      <w:r w:rsidRPr="005A4D00">
        <w:rPr>
          <w:lang w:val="es-ES_tradnl"/>
        </w:rPr>
        <w:t>las decisiones XXXV/14, XXXVI/1 y XXXVII/1, y tomando nota con aprecio de</w:t>
      </w:r>
      <w:r w:rsidR="005A4D00">
        <w:rPr>
          <w:lang w:val="es-ES_tradnl"/>
        </w:rPr>
        <w:t> </w:t>
      </w:r>
      <w:r w:rsidRPr="005A4D00">
        <w:rPr>
          <w:lang w:val="es-ES_tradnl"/>
        </w:rPr>
        <w:t>la información comunicada por la Secretaría del Ozono y el Comité Asesor del fondo fiduciario general para financiar las actividades de investigación y observaciones sistemáticas de interés para el Convenio de Viena a la 38ª Reunión de las Partes en el Protocolo de Montreal relativo a las Sustancias que Agotan la Capa de Ozono,</w:t>
      </w:r>
    </w:p>
    <w:p w14:paraId="4C26C0EF" w14:textId="1169A0C8" w:rsidR="003E795B" w:rsidRPr="005A4D00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>Observando</w:t>
      </w:r>
      <w:r w:rsidRPr="005A4D00">
        <w:rPr>
          <w:lang w:val="es-ES_tradnl"/>
        </w:rPr>
        <w:t xml:space="preserve"> que el Comité Asesor ha identificado diez posibles regiones y ubicaciones para las estaciones de vigilancia, y </w:t>
      </w:r>
      <w:r w:rsidR="00B45138" w:rsidRPr="005A4D00">
        <w:rPr>
          <w:lang w:val="es-ES_tradnl"/>
        </w:rPr>
        <w:t>o</w:t>
      </w:r>
      <w:r w:rsidRPr="005A4D00">
        <w:rPr>
          <w:lang w:val="es-ES_tradnl"/>
        </w:rPr>
        <w:t>bservando también que la elección de los emplazamientos dentro de esas regiones corresponde a los Gobiernos de los países pertinentes que operan al amparo del párrafo 1 del artículo 5 del Protocolo de Montreal, en consulta con el Comité Asesor, y que las Partes de esas regiones no están obligadas a presentar solicitudes de financiación para proyectos piloto de vigilancia</w:t>
      </w:r>
      <w:r w:rsidR="005A4D00">
        <w:rPr>
          <w:lang w:val="es-ES_tradnl"/>
        </w:rPr>
        <w:t> </w:t>
      </w:r>
      <w:r w:rsidRPr="005A4D00">
        <w:rPr>
          <w:lang w:val="es-ES_tradnl"/>
        </w:rPr>
        <w:t>atmosférica,</w:t>
      </w:r>
    </w:p>
    <w:p w14:paraId="05C45E9B" w14:textId="7B9B7B6F" w:rsidR="003E795B" w:rsidRPr="005A4D00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>Observando con aprecio</w:t>
      </w:r>
      <w:r w:rsidRPr="005A4D00">
        <w:rPr>
          <w:lang w:val="es-ES_tradnl"/>
        </w:rPr>
        <w:t xml:space="preserve"> que la Secretaría del Fondo Multilateral para la Aplicación del Protocolo de Montreal elaboró un documento sobre cuestiones relacionadas con los proyectos piloto destinados a mejorar la vigilancia atmosférica regional de las sustancias controladas por el Protocolo de Montreal</w:t>
      </w:r>
      <w:r w:rsidR="00310647" w:rsidRPr="005A4D00">
        <w:rPr>
          <w:rStyle w:val="FootnoteReference"/>
          <w:lang w:val="es-ES_tradnl"/>
        </w:rPr>
        <w:footnoteReference w:id="2"/>
      </w:r>
      <w:r w:rsidRPr="005A4D00">
        <w:rPr>
          <w:lang w:val="es-ES_tradnl"/>
        </w:rPr>
        <w:t>, cuyo examen dio lugar a la decisión 98/62 del Comité Ejecutivo del Fondo Multilateral, en virtud de la cual el Comité aprobó directrices para la preparación y ejecución de proyectos piloto destinados a mejorar la vigilancia atmosférica regional de las sustancias controladas por el Protocolo de Montreal,</w:t>
      </w:r>
    </w:p>
    <w:p w14:paraId="596E0240" w14:textId="1EDA5D56" w:rsidR="003E795B" w:rsidRPr="005A4D00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 xml:space="preserve">Reconociendo </w:t>
      </w:r>
      <w:r w:rsidRPr="005A4D00">
        <w:rPr>
          <w:lang w:val="es-ES_tradnl"/>
        </w:rPr>
        <w:t xml:space="preserve">la función del Comité Asesor, que vela </w:t>
      </w:r>
      <w:r w:rsidR="00B45138" w:rsidRPr="005A4D00">
        <w:rPr>
          <w:lang w:val="es-ES_tradnl"/>
        </w:rPr>
        <w:t xml:space="preserve">por </w:t>
      </w:r>
      <w:r w:rsidRPr="005A4D00">
        <w:rPr>
          <w:lang w:val="es-ES_tradnl"/>
        </w:rPr>
        <w:t>la supervisión científica de la preparación y ejecución de proyectos destinados a mejorar la vigilancia atmosférica regional de las sustancias controladas por el Protocolo de Montreal, al tiempo que consulta a la comunidad científica más amplia y evita conflictos de intereses,</w:t>
      </w:r>
    </w:p>
    <w:p w14:paraId="6C5935F4" w14:textId="65746F3B" w:rsidR="003E795B" w:rsidRPr="005A4D00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 xml:space="preserve">Reconociendo también </w:t>
      </w:r>
      <w:r w:rsidRPr="005A4D00">
        <w:rPr>
          <w:lang w:val="es-ES_tradnl"/>
        </w:rPr>
        <w:t xml:space="preserve">la necesidad de una coordinación a nivel nacional con las instituciones que participan en la vigilancia atmosférica, como organizaciones de investigación y servicios meteorológicos, así como con los ministerios competentes, con el fin de mejorar el conocimiento </w:t>
      </w:r>
      <w:r w:rsidRPr="005A4D00">
        <w:rPr>
          <w:lang w:val="es-ES_tradnl"/>
        </w:rPr>
        <w:lastRenderedPageBreak/>
        <w:t>de</w:t>
      </w:r>
      <w:r w:rsidR="005A4D00">
        <w:rPr>
          <w:lang w:val="es-ES_tradnl"/>
        </w:rPr>
        <w:t> </w:t>
      </w:r>
      <w:r w:rsidRPr="005A4D00">
        <w:rPr>
          <w:lang w:val="es-ES_tradnl"/>
        </w:rPr>
        <w:t>las capacidades existentes y fomentar la colaboración entre las Partes interesadas en crear nuevas</w:t>
      </w:r>
      <w:r w:rsidR="005A4D00">
        <w:rPr>
          <w:lang w:val="es-ES_tradnl"/>
        </w:rPr>
        <w:t> </w:t>
      </w:r>
      <w:r w:rsidRPr="005A4D00">
        <w:rPr>
          <w:lang w:val="es-ES_tradnl"/>
        </w:rPr>
        <w:t xml:space="preserve">capacidades de vigilancia atmosférica, </w:t>
      </w:r>
    </w:p>
    <w:p w14:paraId="3577B047" w14:textId="6EF68078" w:rsidR="003E795B" w:rsidRPr="005A4D00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>Reconociendo además</w:t>
      </w:r>
      <w:r w:rsidRPr="005A4D00">
        <w:rPr>
          <w:lang w:val="es-ES_tradnl"/>
        </w:rPr>
        <w:t xml:space="preserve"> los conocimientos especializados de la Organización Meteorológica Mundial, pertinentes para la preparación y ejecución de proyectos destinados a mejorar la vigilancia atmosférica regional de las sustancias controladas por el Protocolo de Montreal,</w:t>
      </w:r>
    </w:p>
    <w:p w14:paraId="468C9C09" w14:textId="77777777" w:rsidR="00D93139" w:rsidRPr="005A4D00" w:rsidRDefault="00D93139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es-ES_tradnl"/>
        </w:rPr>
      </w:pPr>
      <w:r w:rsidRPr="005A4D00">
        <w:rPr>
          <w:i/>
          <w:iCs/>
          <w:lang w:val="es-ES_tradnl"/>
        </w:rPr>
        <w:t>Decide:</w:t>
      </w:r>
    </w:p>
    <w:p w14:paraId="350B3EB9" w14:textId="1C8261BD" w:rsidR="007141E4" w:rsidRPr="005A4D00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Invitar a las Partes en el Convenio de Viena para la Protección de la Capa de Ozono</w:t>
      </w:r>
      <w:r w:rsidR="005A4D00">
        <w:rPr>
          <w:lang w:val="es-ES_tradnl"/>
        </w:rPr>
        <w:t> </w:t>
      </w:r>
      <w:r w:rsidRPr="005A4D00">
        <w:rPr>
          <w:lang w:val="es-ES_tradnl"/>
        </w:rPr>
        <w:t>a</w:t>
      </w:r>
      <w:r w:rsidR="005A4D00">
        <w:rPr>
          <w:lang w:val="es-ES_tradnl"/>
        </w:rPr>
        <w:t> </w:t>
      </w:r>
      <w:r w:rsidRPr="005A4D00">
        <w:rPr>
          <w:lang w:val="es-ES_tradnl"/>
        </w:rPr>
        <w:t xml:space="preserve">que soliciten al Comité Asesor del fondo fiduciario general para financiar las actividades de investigación y observaciones sistemáticas de interés para el Convenio de Viena que haga lo siguiente: </w:t>
      </w:r>
    </w:p>
    <w:p w14:paraId="0B7221F7" w14:textId="67ED402D" w:rsidR="007141E4" w:rsidRPr="005A4D00" w:rsidRDefault="004C6899" w:rsidP="00670E7C">
      <w:pPr>
        <w:pStyle w:val="Normal-pool"/>
        <w:numPr>
          <w:ilvl w:val="1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Proporcionar orientación científica sobre la preparación y ejecución de proyectos destinados a mejorar la vigilancia atmosférica regional de las sustancias controladas por el Protocolo de Montreal relativo a las Sustancias que Agotan la Capa de Ozono;</w:t>
      </w:r>
    </w:p>
    <w:p w14:paraId="348DC3A4" w14:textId="46D2BFAC" w:rsidR="007141E4" w:rsidRPr="005A4D00" w:rsidRDefault="004C6899" w:rsidP="00670E7C">
      <w:pPr>
        <w:pStyle w:val="Normal-pool"/>
        <w:numPr>
          <w:ilvl w:val="1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Aceptar las orientaciones de la Reunión de las Partes en el Protocolo de Montreal e</w:t>
      </w:r>
      <w:r w:rsidR="005A4D00">
        <w:rPr>
          <w:lang w:val="es-ES_tradnl"/>
        </w:rPr>
        <w:t> </w:t>
      </w:r>
      <w:r w:rsidRPr="005A4D00">
        <w:rPr>
          <w:lang w:val="es-ES_tradnl"/>
        </w:rPr>
        <w:t xml:space="preserve">informar a </w:t>
      </w:r>
      <w:r w:rsidR="00A05EC8" w:rsidRPr="005A4D00">
        <w:rPr>
          <w:lang w:val="es-ES_tradnl"/>
        </w:rPr>
        <w:t>esta</w:t>
      </w:r>
      <w:r w:rsidRPr="005A4D00">
        <w:rPr>
          <w:lang w:val="es-ES_tradnl"/>
        </w:rPr>
        <w:t xml:space="preserve"> sobre los avances en cuestiones relacionadas con la mejora de la vigilancia atmosférica</w:t>
      </w:r>
      <w:r w:rsidR="005A4D00">
        <w:rPr>
          <w:lang w:val="es-ES_tradnl"/>
        </w:rPr>
        <w:t> </w:t>
      </w:r>
      <w:r w:rsidRPr="005A4D00">
        <w:rPr>
          <w:lang w:val="es-ES_tradnl"/>
        </w:rPr>
        <w:t>regional, de conformidad con el párrafo 3 e) de la decisión XXXVI/1;</w:t>
      </w:r>
    </w:p>
    <w:p w14:paraId="705660F6" w14:textId="6EAFE6CF" w:rsidR="007141E4" w:rsidRPr="005A4D00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 xml:space="preserve">Solicitar a la Secretaría del Ozono que vele por que los proyectos de vigilancia atmosférica financiados por el fondo fiduciario general sigan las recomendaciones científicas del Comité Asesor; </w:t>
      </w:r>
    </w:p>
    <w:p w14:paraId="7A130F21" w14:textId="6B8F2D2F" w:rsidR="007141E4" w:rsidRPr="005A4D00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Solicitar también a la Secretaría del Ozono que elabore acuerdos con las Partes seleccionadas para ejecutar proyectos destinados al establecimiento de actividades de vigilancia de</w:t>
      </w:r>
      <w:r w:rsidR="00002DBE">
        <w:rPr>
          <w:lang w:val="es-ES_tradnl"/>
        </w:rPr>
        <w:t> </w:t>
      </w:r>
      <w:r w:rsidRPr="005A4D00">
        <w:rPr>
          <w:lang w:val="es-ES_tradnl"/>
        </w:rPr>
        <w:t>las</w:t>
      </w:r>
      <w:r w:rsidR="00002DBE">
        <w:rPr>
          <w:lang w:val="es-ES_tradnl"/>
        </w:rPr>
        <w:t> </w:t>
      </w:r>
      <w:r w:rsidRPr="005A4D00">
        <w:rPr>
          <w:lang w:val="es-ES_tradnl"/>
        </w:rPr>
        <w:t>sustancias controladas con la ayuda del fondo fiduciario general, de conformidad con las prioridades y la ejecución por etapas recomendadas por el Comité Asesor</w:t>
      </w:r>
      <w:r w:rsidR="004C6899" w:rsidRPr="005A4D00">
        <w:rPr>
          <w:vertAlign w:val="superscript"/>
          <w:lang w:val="es-ES_tradnl"/>
        </w:rPr>
        <w:footnoteReference w:id="3"/>
      </w:r>
      <w:r w:rsidRPr="005A4D00">
        <w:rPr>
          <w:lang w:val="es-ES_tradnl"/>
        </w:rPr>
        <w:t>;</w:t>
      </w:r>
    </w:p>
    <w:p w14:paraId="32DD252C" w14:textId="3176FBCB" w:rsidR="007141E4" w:rsidRPr="005A4D00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Solicitar además a la Secretaría del Ozono que, en consulta con el Comité Asesor cuando sea necesario, elabore directrices para la preparación y ejecución de proyectos financiados con cargo al fondo fiduciario general en materia de vigilancia atmosférica, velando, cuando proceda, por la</w:t>
      </w:r>
      <w:r w:rsidR="00B45926">
        <w:rPr>
          <w:lang w:val="es-ES_tradnl"/>
        </w:rPr>
        <w:t> </w:t>
      </w:r>
      <w:r w:rsidRPr="005A4D00">
        <w:rPr>
          <w:lang w:val="es-ES_tradnl"/>
        </w:rPr>
        <w:t>coherencia con las directrices adoptadas a tal efecto por el Comité Ejecutivo del Fondo Multilateral para la Aplicación del Protocolo de Montreal en la decisión 98/62, y que ponga esas directrices a disposición de la 39ª Reunión de las Partes con fines informativos;</w:t>
      </w:r>
    </w:p>
    <w:p w14:paraId="21323EA1" w14:textId="2ED8012B" w:rsidR="007141E4" w:rsidRPr="005A4D00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Solicitar a la Secretaría del Ozono y a cualquier Parte u organismo de ejecución interesado que velen por que las actividades de vigilancia financiadas con cargo al fondo fiduciario general se atengan a los principios</w:t>
      </w:r>
      <w:r w:rsidR="00FD1A0F" w:rsidRPr="005A4D00">
        <w:rPr>
          <w:lang w:val="es-ES_tradnl"/>
        </w:rPr>
        <w:t xml:space="preserve"> </w:t>
      </w:r>
      <w:r w:rsidRPr="005A4D00">
        <w:rPr>
          <w:lang w:val="es-ES_tradnl"/>
        </w:rPr>
        <w:t>de disponibilidad y accesibilidad abiertas de los datos, y en particular a los principios FAIR (Fáciles de encontrar, Accesibles, Interoperables y Reutilizables)</w:t>
      </w:r>
      <w:r w:rsidR="00A05EC8" w:rsidRPr="005A4D00">
        <w:rPr>
          <w:lang w:val="es-ES_tradnl"/>
        </w:rPr>
        <w:t>,</w:t>
      </w:r>
      <w:r w:rsidRPr="005A4D00">
        <w:rPr>
          <w:lang w:val="es-ES_tradnl"/>
        </w:rPr>
        <w:t xml:space="preserve"> en</w:t>
      </w:r>
      <w:r w:rsidR="005A4D00">
        <w:rPr>
          <w:lang w:val="es-ES_tradnl"/>
        </w:rPr>
        <w:t> </w:t>
      </w:r>
      <w:r w:rsidRPr="005A4D00">
        <w:rPr>
          <w:lang w:val="es-ES_tradnl"/>
        </w:rPr>
        <w:t>la gestión y la administración de datos científicos;</w:t>
      </w:r>
    </w:p>
    <w:p w14:paraId="46ACF0E3" w14:textId="4B2FC7F7" w:rsidR="00D93139" w:rsidRPr="005A4D00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5A4D00">
        <w:rPr>
          <w:lang w:val="es-ES_tradnl"/>
        </w:rPr>
        <w:t>Solicitar también a la Secretaría del Ozono que, en consulta con otros agentes pertinentes, informe con periodicidad anual a las Partes en el Protocolo de Montreal sobre los progresos obtenidos en la mejora de la vigilancia atmosférica regional.</w:t>
      </w:r>
    </w:p>
    <w:p w14:paraId="4704C4CB" w14:textId="7DDAE2F1" w:rsidR="00AE543B" w:rsidRPr="005A4D00" w:rsidRDefault="00AE543B" w:rsidP="00A73DD7">
      <w:pPr>
        <w:pStyle w:val="Normal-pool"/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5A4D00" w14:paraId="14481E4E" w14:textId="77777777" w:rsidTr="00A73DD7">
        <w:tc>
          <w:tcPr>
            <w:tcW w:w="1897" w:type="dxa"/>
          </w:tcPr>
          <w:p w14:paraId="44517F49" w14:textId="77777777" w:rsidR="00A73DD7" w:rsidRPr="005A4D00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</w:tcPr>
          <w:p w14:paraId="058CE27F" w14:textId="77777777" w:rsidR="00A73DD7" w:rsidRPr="005A4D00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5A4D00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2A79DBF7" w14:textId="77777777" w:rsidR="00A73DD7" w:rsidRPr="005A4D00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1FF85100" w14:textId="77777777" w:rsidR="00A73DD7" w:rsidRPr="005A4D00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</w:tr>
    </w:tbl>
    <w:p w14:paraId="3432546E" w14:textId="77777777" w:rsidR="00A73DD7" w:rsidRPr="005A4D00" w:rsidRDefault="00A73DD7" w:rsidP="00A73DD7">
      <w:pPr>
        <w:pStyle w:val="Normal-pool"/>
        <w:rPr>
          <w:lang w:val="es-ES_tradnl"/>
        </w:rPr>
      </w:pPr>
    </w:p>
    <w:sectPr w:rsidR="00A73DD7" w:rsidRPr="005A4D00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3CCDA" w14:textId="77777777" w:rsidR="00650962" w:rsidRPr="00AE543B" w:rsidRDefault="00650962">
      <w:r w:rsidRPr="00AE543B">
        <w:separator/>
      </w:r>
    </w:p>
  </w:endnote>
  <w:endnote w:type="continuationSeparator" w:id="0">
    <w:p w14:paraId="60184261" w14:textId="77777777" w:rsidR="00650962" w:rsidRPr="00AE543B" w:rsidRDefault="00650962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1D4CB753" w:rsidR="00AB33D9" w:rsidRDefault="00AB33D9" w:rsidP="00AB33D9">
    <w:pPr>
      <w:pStyle w:val="Footer-jobnumber"/>
    </w:pPr>
    <w:bookmarkStart w:id="2" w:name="FooterJobDate"/>
    <w:r>
      <w:t>UNON_DCS_2616385[</w:t>
    </w:r>
    <w:r w:rsidR="005A4D00">
      <w:t>S</w:t>
    </w:r>
    <w:r>
      <w:t>]</w:t>
    </w:r>
    <w:r>
      <w:tab/>
      <w:t>0</w:t>
    </w:r>
    <w:r w:rsidR="005A4D00">
      <w:t>3</w:t>
    </w:r>
    <w:r>
      <w:t>1126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AD9FE" w14:textId="77777777" w:rsidR="00650962" w:rsidRPr="00AE543B" w:rsidRDefault="00650962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277E7970" w14:textId="77777777" w:rsidR="00650962" w:rsidRPr="00AE543B" w:rsidRDefault="00650962" w:rsidP="00C70B49">
      <w:pPr>
        <w:pStyle w:val="Footnote-Separator"/>
      </w:pPr>
      <w:r w:rsidRPr="00AE543B">
        <w:continuationSeparator/>
      </w:r>
    </w:p>
  </w:footnote>
  <w:footnote w:type="continuationNotice" w:id="1">
    <w:p w14:paraId="020079D3" w14:textId="77777777" w:rsidR="00650962" w:rsidRPr="00AE543B" w:rsidRDefault="00650962" w:rsidP="00C70B49">
      <w:pPr>
        <w:pStyle w:val="ASpacer"/>
      </w:pPr>
    </w:p>
  </w:footnote>
  <w:footnote w:id="2">
    <w:p w14:paraId="333F0ABE" w14:textId="58E8C614" w:rsidR="00310647" w:rsidRPr="00FD1A0F" w:rsidRDefault="00310647" w:rsidP="00670E7C">
      <w:pPr>
        <w:pStyle w:val="Footnote-Text"/>
        <w:rPr>
          <w:lang w:val="es-ES"/>
        </w:rPr>
      </w:pPr>
      <w:r w:rsidRPr="00474E1F">
        <w:rPr>
          <w:rStyle w:val="FootnoteReference"/>
          <w:lang w:val="es-ES"/>
        </w:rPr>
        <w:footnoteRef/>
      </w:r>
      <w:r>
        <w:rPr>
          <w:lang w:val="es-ES"/>
        </w:rPr>
        <w:t xml:space="preserve"> UNEP/</w:t>
      </w:r>
      <w:proofErr w:type="spellStart"/>
      <w:r>
        <w:rPr>
          <w:lang w:val="es-ES"/>
        </w:rPr>
        <w:t>OzL.Pro</w:t>
      </w:r>
      <w:proofErr w:type="spellEnd"/>
      <w:r>
        <w:rPr>
          <w:lang w:val="es-ES"/>
        </w:rPr>
        <w:t>/</w:t>
      </w:r>
      <w:proofErr w:type="spellStart"/>
      <w:r>
        <w:rPr>
          <w:lang w:val="es-ES"/>
        </w:rPr>
        <w:t>ExCom</w:t>
      </w:r>
      <w:proofErr w:type="spellEnd"/>
      <w:r>
        <w:rPr>
          <w:lang w:val="es-ES"/>
        </w:rPr>
        <w:t>/98/61.</w:t>
      </w:r>
    </w:p>
  </w:footnote>
  <w:footnote w:id="3">
    <w:p w14:paraId="4FD92B5B" w14:textId="13180A32" w:rsidR="004C6899" w:rsidRPr="00FD1A0F" w:rsidRDefault="004C6899" w:rsidP="00A73DD7">
      <w:pPr>
        <w:pStyle w:val="Footnote-Text"/>
        <w:rPr>
          <w:lang w:val="es-ES"/>
        </w:rPr>
      </w:pPr>
      <w:r>
        <w:rPr>
          <w:rStyle w:val="FootnoteReference"/>
          <w:lang w:val="es-ES"/>
        </w:rPr>
        <w:footnoteRef/>
      </w:r>
      <w:r>
        <w:rPr>
          <w:lang w:val="es-ES"/>
        </w:rPr>
        <w:t xml:space="preserve"> Descritas en el documento UNEP/OzL.Pro.37/2/Add.1.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046B98A3" w:rsidR="007A36F8" w:rsidRPr="00AE543B" w:rsidRDefault="00023DB6" w:rsidP="00AE543B">
    <w:pPr>
      <w:pStyle w:val="Header-pool"/>
    </w:pPr>
    <w:r>
      <w:rPr>
        <w:noProof/>
      </w:rPr>
      <w:t>UNEP/OzL.Pro.38/CRP.2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5D44D3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19"/>
  </w:num>
  <w:num w:numId="2" w16cid:durableId="1242644713">
    <w:abstractNumId w:val="22"/>
  </w:num>
  <w:num w:numId="3" w16cid:durableId="1933662228">
    <w:abstractNumId w:val="16"/>
  </w:num>
  <w:num w:numId="4" w16cid:durableId="1991909117">
    <w:abstractNumId w:val="10"/>
  </w:num>
  <w:num w:numId="5" w16cid:durableId="1138956019">
    <w:abstractNumId w:val="13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5"/>
  </w:num>
  <w:num w:numId="17" w16cid:durableId="354504149">
    <w:abstractNumId w:val="23"/>
  </w:num>
  <w:num w:numId="18" w16cid:durableId="200855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4"/>
  </w:num>
  <w:num w:numId="20" w16cid:durableId="149030565">
    <w:abstractNumId w:val="11"/>
  </w:num>
  <w:num w:numId="21" w16cid:durableId="1909068334">
    <w:abstractNumId w:val="12"/>
  </w:num>
  <w:num w:numId="22" w16cid:durableId="1857035874">
    <w:abstractNumId w:val="18"/>
  </w:num>
  <w:num w:numId="23" w16cid:durableId="737482761">
    <w:abstractNumId w:val="20"/>
  </w:num>
  <w:num w:numId="24" w16cid:durableId="876089119">
    <w:abstractNumId w:val="17"/>
  </w:num>
  <w:num w:numId="25" w16cid:durableId="34447625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02DBE"/>
    <w:rsid w:val="000149E6"/>
    <w:rsid w:val="00016AF3"/>
    <w:rsid w:val="000208C8"/>
    <w:rsid w:val="00023DB6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0534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1A55"/>
    <w:rsid w:val="00141F2F"/>
    <w:rsid w:val="001446A3"/>
    <w:rsid w:val="001458EC"/>
    <w:rsid w:val="00146C56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3E5"/>
    <w:rsid w:val="00317976"/>
    <w:rsid w:val="00320916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2A7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2371"/>
    <w:rsid w:val="004A42E1"/>
    <w:rsid w:val="004B162C"/>
    <w:rsid w:val="004C3DBE"/>
    <w:rsid w:val="004C5C96"/>
    <w:rsid w:val="004C6899"/>
    <w:rsid w:val="004D06A4"/>
    <w:rsid w:val="004D4F5B"/>
    <w:rsid w:val="004D530B"/>
    <w:rsid w:val="004D60EA"/>
    <w:rsid w:val="004E59D4"/>
    <w:rsid w:val="004E79AC"/>
    <w:rsid w:val="004F1A81"/>
    <w:rsid w:val="005218D9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3313"/>
    <w:rsid w:val="00586078"/>
    <w:rsid w:val="005940BC"/>
    <w:rsid w:val="00594BA0"/>
    <w:rsid w:val="005A4D00"/>
    <w:rsid w:val="005B3069"/>
    <w:rsid w:val="005B64B8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0962"/>
    <w:rsid w:val="00651BFA"/>
    <w:rsid w:val="00652A07"/>
    <w:rsid w:val="006533B3"/>
    <w:rsid w:val="00663A80"/>
    <w:rsid w:val="00665A4B"/>
    <w:rsid w:val="00670E7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22817"/>
    <w:rsid w:val="00830E26"/>
    <w:rsid w:val="00842CEE"/>
    <w:rsid w:val="00843576"/>
    <w:rsid w:val="00843B64"/>
    <w:rsid w:val="008470BD"/>
    <w:rsid w:val="008478FC"/>
    <w:rsid w:val="00860682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8F4092"/>
    <w:rsid w:val="00907D78"/>
    <w:rsid w:val="0091410A"/>
    <w:rsid w:val="00917904"/>
    <w:rsid w:val="00920EF8"/>
    <w:rsid w:val="0092178C"/>
    <w:rsid w:val="0092493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0A5B"/>
    <w:rsid w:val="009F6CEB"/>
    <w:rsid w:val="00A03A4A"/>
    <w:rsid w:val="00A05EC8"/>
    <w:rsid w:val="00A072C5"/>
    <w:rsid w:val="00A07870"/>
    <w:rsid w:val="00A07F19"/>
    <w:rsid w:val="00A1348D"/>
    <w:rsid w:val="00A142D1"/>
    <w:rsid w:val="00A1489E"/>
    <w:rsid w:val="00A15901"/>
    <w:rsid w:val="00A232EE"/>
    <w:rsid w:val="00A32206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33D9"/>
    <w:rsid w:val="00AB5340"/>
    <w:rsid w:val="00AC010E"/>
    <w:rsid w:val="00AC01CC"/>
    <w:rsid w:val="00AC16B8"/>
    <w:rsid w:val="00AC25CA"/>
    <w:rsid w:val="00AC7C96"/>
    <w:rsid w:val="00AE237D"/>
    <w:rsid w:val="00AE2A3D"/>
    <w:rsid w:val="00AE502A"/>
    <w:rsid w:val="00AE543B"/>
    <w:rsid w:val="00AE6D81"/>
    <w:rsid w:val="00AF0DF7"/>
    <w:rsid w:val="00AF7C07"/>
    <w:rsid w:val="00B13F79"/>
    <w:rsid w:val="00B22C93"/>
    <w:rsid w:val="00B244E4"/>
    <w:rsid w:val="00B27589"/>
    <w:rsid w:val="00B37EF9"/>
    <w:rsid w:val="00B405B7"/>
    <w:rsid w:val="00B4397A"/>
    <w:rsid w:val="00B45138"/>
    <w:rsid w:val="00B45926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1FCC"/>
    <w:rsid w:val="00B859A3"/>
    <w:rsid w:val="00B86DF9"/>
    <w:rsid w:val="00B91EE1"/>
    <w:rsid w:val="00BA0090"/>
    <w:rsid w:val="00BA1A67"/>
    <w:rsid w:val="00BB49DE"/>
    <w:rsid w:val="00BC07FE"/>
    <w:rsid w:val="00BD0163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658"/>
    <w:rsid w:val="00C75C7C"/>
    <w:rsid w:val="00C81951"/>
    <w:rsid w:val="00C83A8F"/>
    <w:rsid w:val="00C84759"/>
    <w:rsid w:val="00C87498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0794"/>
    <w:rsid w:val="00DF341E"/>
    <w:rsid w:val="00DF5660"/>
    <w:rsid w:val="00E012CF"/>
    <w:rsid w:val="00E0574F"/>
    <w:rsid w:val="00E06797"/>
    <w:rsid w:val="00E122BC"/>
    <w:rsid w:val="00E1265B"/>
    <w:rsid w:val="00E126BC"/>
    <w:rsid w:val="00E13B48"/>
    <w:rsid w:val="00E1404F"/>
    <w:rsid w:val="00E212EF"/>
    <w:rsid w:val="00E21C8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3106"/>
    <w:rsid w:val="00EC5A46"/>
    <w:rsid w:val="00EC63E2"/>
    <w:rsid w:val="00ED0087"/>
    <w:rsid w:val="00ED1F3E"/>
    <w:rsid w:val="00ED6EFD"/>
    <w:rsid w:val="00ED71C7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1556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205"/>
    <w:rsid w:val="00F969E5"/>
    <w:rsid w:val="00F97AEE"/>
    <w:rsid w:val="00F97E54"/>
    <w:rsid w:val="00FA1C95"/>
    <w:rsid w:val="00FA6BB0"/>
    <w:rsid w:val="00FB1DFB"/>
    <w:rsid w:val="00FC5941"/>
    <w:rsid w:val="00FC614F"/>
    <w:rsid w:val="00FD1A0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semiHidden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1</TotalTime>
  <Pages>2</Pages>
  <Words>899</Words>
  <Characters>4950</Characters>
  <Application>Microsoft Office Word</Application>
  <DocSecurity>0</DocSecurity>
  <PresentationFormat/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Jimena Vallejo Montes</cp:lastModifiedBy>
  <cp:revision>2</cp:revision>
  <cp:lastPrinted>2026-11-02T12:45:00Z</cp:lastPrinted>
  <dcterms:created xsi:type="dcterms:W3CDTF">2026-11-03T08:29:00Z</dcterms:created>
  <dcterms:modified xsi:type="dcterms:W3CDTF">2026-11-03T08:29:00Z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pablo.alvarez@un.org</vt:lpwstr>
  </property>
  <property fmtid="{D5CDD505-2E9C-101B-9397-08002B2CF9AE}" pid="14" name="GeneratedDate">
    <vt:lpwstr>11/02/2026 13:26:30</vt:lpwstr>
  </property>
  <property fmtid="{D5CDD505-2E9C-101B-9397-08002B2CF9AE}" pid="15" name="OriginalDocID">
    <vt:lpwstr>2c6c28b9-6472-4846-b19b-e97e056945e9</vt:lpwstr>
  </property>
</Properties>
</file>