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D9432D" w:rsidRPr="00D9432D" w14:paraId="0F4A196D" w14:textId="77777777" w:rsidTr="009A64A7">
        <w:trPr>
          <w:trHeight w:val="340"/>
        </w:trPr>
        <w:tc>
          <w:tcPr>
            <w:tcW w:w="1559" w:type="dxa"/>
          </w:tcPr>
          <w:p w14:paraId="2C7542CB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4819" w:type="dxa"/>
          </w:tcPr>
          <w:p w14:paraId="29903625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1C79FF76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</w:tr>
    </w:tbl>
    <w:p w14:paraId="28BE2FFC" w14:textId="77777777" w:rsidR="00D9432D" w:rsidRPr="00D9432D" w:rsidRDefault="00D9432D" w:rsidP="00D9432D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D9432D" w:rsidRPr="00D9432D" w14:paraId="6B4A8A6E" w14:textId="77777777" w:rsidTr="009A64A7">
        <w:trPr>
          <w:trHeight w:val="340"/>
        </w:trPr>
        <w:tc>
          <w:tcPr>
            <w:tcW w:w="3358" w:type="pct"/>
            <w:vAlign w:val="bottom"/>
          </w:tcPr>
          <w:p w14:paraId="234391AB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72380CA8" w14:textId="596BA553" w:rsidR="00D9432D" w:rsidRPr="00D9432D" w:rsidRDefault="00D9432D" w:rsidP="009A64A7">
            <w:pPr>
              <w:pStyle w:val="ASymbol"/>
              <w:rPr>
                <w:lang w:val="es-ES_tradnl"/>
              </w:rPr>
            </w:pPr>
            <w:r w:rsidRPr="00D9432D">
              <w:rPr>
                <w:b/>
                <w:sz w:val="28"/>
                <w:lang w:val="es-ES_tradnl"/>
              </w:rPr>
              <w:t>UNEP</w:t>
            </w:r>
            <w:r w:rsidRPr="00D9432D">
              <w:rPr>
                <w:lang w:val="es-ES_tradnl"/>
              </w:rPr>
              <w:t>/OzL.Pro.</w:t>
            </w:r>
            <w:bookmarkStart w:id="0" w:name="Symbol1A"/>
            <w:r w:rsidRPr="00D9432D">
              <w:rPr>
                <w:lang w:val="es-ES_tradnl"/>
              </w:rPr>
              <w:t>38</w:t>
            </w:r>
            <w:bookmarkEnd w:id="0"/>
            <w:r w:rsidRPr="00D9432D">
              <w:rPr>
                <w:lang w:val="es-ES_tradnl"/>
              </w:rPr>
              <w:t>/CRP.</w:t>
            </w:r>
            <w:r w:rsidRPr="00D9432D">
              <w:rPr>
                <w:lang w:val="es-ES_tradnl"/>
              </w:rPr>
              <w:t>5</w:t>
            </w:r>
          </w:p>
        </w:tc>
      </w:tr>
    </w:tbl>
    <w:p w14:paraId="25AD927A" w14:textId="77777777" w:rsidR="00D9432D" w:rsidRPr="00D9432D" w:rsidRDefault="00D9432D" w:rsidP="00D9432D">
      <w:pPr>
        <w:pStyle w:val="ASpacer"/>
        <w:rPr>
          <w:lang w:val="es-ES_tradnl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D9432D" w:rsidRPr="00D9432D" w14:paraId="521A4BDA" w14:textId="77777777" w:rsidTr="009A64A7">
        <w:trPr>
          <w:trHeight w:val="2098"/>
        </w:trPr>
        <w:tc>
          <w:tcPr>
            <w:tcW w:w="5102" w:type="dxa"/>
          </w:tcPr>
          <w:p w14:paraId="0ED9172F" w14:textId="77777777" w:rsidR="00D9432D" w:rsidRPr="00D9432D" w:rsidRDefault="00D9432D" w:rsidP="009A64A7">
            <w:pPr>
              <w:pStyle w:val="AConvName"/>
              <w:rPr>
                <w:lang w:val="es-ES_tradnl"/>
              </w:rPr>
            </w:pPr>
            <w:r w:rsidRPr="00D9432D">
              <w:rPr>
                <w:lang w:val="es-ES_tradnl"/>
              </w:rPr>
              <w:t xml:space="preserve">Programa de las </w:t>
            </w:r>
            <w:r w:rsidRPr="00D9432D">
              <w:rPr>
                <w:lang w:val="es-ES_tradnl"/>
              </w:rPr>
              <w:br/>
              <w:t xml:space="preserve">Naciones Unidas </w:t>
            </w:r>
            <w:r w:rsidRPr="00D9432D">
              <w:rPr>
                <w:lang w:val="es-ES_tradnl"/>
              </w:rPr>
              <w:br/>
              <w:t>para el Medio Ambiente</w:t>
            </w:r>
          </w:p>
        </w:tc>
        <w:tc>
          <w:tcPr>
            <w:tcW w:w="1276" w:type="dxa"/>
          </w:tcPr>
          <w:p w14:paraId="395B16C7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7D46172D" w14:textId="77777777" w:rsidR="00D9432D" w:rsidRPr="00D9432D" w:rsidRDefault="00D9432D" w:rsidP="00D9432D">
            <w:pPr>
              <w:pStyle w:val="AText"/>
              <w:rPr>
                <w:rFonts w:eastAsiaTheme="minorEastAsia"/>
                <w:lang w:val="es-ES_tradnl"/>
              </w:rPr>
            </w:pPr>
            <w:r w:rsidRPr="00D9432D">
              <w:rPr>
                <w:rFonts w:eastAsiaTheme="minorEastAsia"/>
                <w:color w:val="000000"/>
                <w:lang w:val="es-ES_tradnl"/>
              </w:rPr>
              <w:t xml:space="preserve">2 de noviembre de 2026 </w:t>
            </w:r>
          </w:p>
          <w:p w14:paraId="013E67A1" w14:textId="77777777" w:rsidR="00D9432D" w:rsidRPr="00D9432D" w:rsidRDefault="00D9432D" w:rsidP="009A64A7">
            <w:pPr>
              <w:pStyle w:val="AText"/>
              <w:rPr>
                <w:lang w:val="es-ES_tradnl"/>
              </w:rPr>
            </w:pPr>
            <w:bookmarkStart w:id="1" w:name="DistributionLang"/>
            <w:r w:rsidRPr="00D9432D">
              <w:rPr>
                <w:lang w:val="es-ES_tradnl"/>
              </w:rPr>
              <w:t xml:space="preserve">Español </w:t>
            </w:r>
            <w:r w:rsidRPr="00D9432D">
              <w:rPr>
                <w:lang w:val="es-ES_tradnl"/>
              </w:rPr>
              <w:br/>
              <w:t>Original: inglés</w:t>
            </w:r>
            <w:bookmarkEnd w:id="1"/>
          </w:p>
        </w:tc>
      </w:tr>
    </w:tbl>
    <w:p w14:paraId="55DCC529" w14:textId="77777777" w:rsidR="00D9432D" w:rsidRPr="00D9432D" w:rsidRDefault="00D9432D" w:rsidP="00D9432D">
      <w:pPr>
        <w:pStyle w:val="ASpacer"/>
        <w:rPr>
          <w:lang w:val="es-ES_tradnl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D9432D" w:rsidRPr="00D9432D" w14:paraId="6DABBC20" w14:textId="77777777" w:rsidTr="009A64A7">
        <w:trPr>
          <w:trHeight w:val="57"/>
        </w:trPr>
        <w:tc>
          <w:tcPr>
            <w:tcW w:w="5528" w:type="dxa"/>
          </w:tcPr>
          <w:p w14:paraId="11848878" w14:textId="77777777" w:rsidR="00D9432D" w:rsidRPr="00D9432D" w:rsidRDefault="00D9432D" w:rsidP="009A64A7">
            <w:pPr>
              <w:pStyle w:val="AATitle"/>
              <w:rPr>
                <w:lang w:val="es-ES_tradnl"/>
              </w:rPr>
            </w:pPr>
            <w:r w:rsidRPr="00D9432D">
              <w:rPr>
                <w:lang w:val="es-ES_tradnl"/>
              </w:rPr>
              <w:t xml:space="preserve">38ª Reunión de las Partes en el Protocolo </w:t>
            </w:r>
            <w:r w:rsidRPr="00D9432D">
              <w:rPr>
                <w:lang w:val="es-ES_tradnl"/>
              </w:rPr>
              <w:br/>
              <w:t xml:space="preserve">de Montreal relativo a las Sustancias que Agotan </w:t>
            </w:r>
            <w:r w:rsidRPr="00D9432D">
              <w:rPr>
                <w:lang w:val="es-ES_tradnl"/>
              </w:rPr>
              <w:br/>
              <w:t xml:space="preserve">la Capa de Ozono </w:t>
            </w:r>
          </w:p>
          <w:p w14:paraId="24741D84" w14:textId="77777777" w:rsidR="00D9432D" w:rsidRPr="00D9432D" w:rsidRDefault="00D9432D" w:rsidP="009A64A7">
            <w:pPr>
              <w:pStyle w:val="AATitle1"/>
              <w:rPr>
                <w:lang w:val="es-ES_tradnl"/>
              </w:rPr>
            </w:pPr>
            <w:r w:rsidRPr="00D9432D">
              <w:rPr>
                <w:lang w:val="es-ES_tradnl"/>
              </w:rPr>
              <w:t xml:space="preserve">Kigali, 2 a 6 de noviembre de 2026 </w:t>
            </w:r>
          </w:p>
          <w:p w14:paraId="2756917E" w14:textId="77777777" w:rsidR="00D9432D" w:rsidRPr="00D9432D" w:rsidRDefault="00D9432D" w:rsidP="00D9432D">
            <w:pPr>
              <w:pStyle w:val="AATitle1"/>
              <w:rPr>
                <w:rFonts w:eastAsiaTheme="minorEastAsia"/>
                <w:lang w:val="es-ES_tradnl"/>
              </w:rPr>
            </w:pPr>
            <w:r w:rsidRPr="00D9432D">
              <w:rPr>
                <w:rFonts w:eastAsiaTheme="minorEastAsia"/>
                <w:color w:val="000000"/>
                <w:lang w:val="es-ES_tradnl"/>
              </w:rPr>
              <w:t xml:space="preserve">Tema 9 a) del programa de la serie de sesiones preparatorias </w:t>
            </w:r>
          </w:p>
          <w:p w14:paraId="4618869B" w14:textId="62049C50" w:rsidR="00D9432D" w:rsidRPr="00D9432D" w:rsidRDefault="00D9432D" w:rsidP="00D9432D">
            <w:pPr>
              <w:pStyle w:val="AATitle2"/>
              <w:rPr>
                <w:lang w:val="es-ES_tradnl"/>
              </w:rPr>
            </w:pPr>
            <w:r w:rsidRPr="00D9432D">
              <w:rPr>
                <w:bCs/>
                <w:color w:val="000000"/>
                <w:lang w:val="es-ES_tradnl"/>
              </w:rPr>
              <w:t>Cuestiones de organización del Grupo de Evaluación Tecnológica y Económica: opciones para la organización del</w:t>
            </w:r>
            <w:r>
              <w:rPr>
                <w:bCs/>
                <w:color w:val="000000"/>
                <w:lang w:val="es-ES_tradnl"/>
              </w:rPr>
              <w:t> </w:t>
            </w:r>
            <w:r w:rsidRPr="00D9432D">
              <w:rPr>
                <w:bCs/>
                <w:color w:val="000000"/>
                <w:lang w:val="es-ES_tradnl"/>
              </w:rPr>
              <w:t>Grupo de Evaluación Tecnológica y Económica y sus comités</w:t>
            </w:r>
            <w:r>
              <w:rPr>
                <w:bCs/>
                <w:color w:val="000000"/>
                <w:lang w:val="es-ES_tradnl"/>
              </w:rPr>
              <w:t> </w:t>
            </w:r>
            <w:r w:rsidRPr="00D9432D">
              <w:rPr>
                <w:bCs/>
                <w:color w:val="000000"/>
                <w:lang w:val="es-ES_tradnl"/>
              </w:rPr>
              <w:t>de</w:t>
            </w:r>
            <w:r>
              <w:rPr>
                <w:bCs/>
                <w:color w:val="000000"/>
                <w:lang w:val="es-ES_tradnl"/>
              </w:rPr>
              <w:t> </w:t>
            </w:r>
            <w:r w:rsidRPr="00D9432D">
              <w:rPr>
                <w:bCs/>
                <w:color w:val="000000"/>
                <w:lang w:val="es-ES_tradnl"/>
              </w:rPr>
              <w:t>opciones técnicas</w:t>
            </w:r>
          </w:p>
        </w:tc>
        <w:tc>
          <w:tcPr>
            <w:tcW w:w="3969" w:type="dxa"/>
          </w:tcPr>
          <w:p w14:paraId="35F0B064" w14:textId="77777777" w:rsidR="00D9432D" w:rsidRPr="00D9432D" w:rsidRDefault="00D9432D" w:rsidP="009A64A7">
            <w:pPr>
              <w:pStyle w:val="Normal-pool"/>
              <w:rPr>
                <w:lang w:val="es-ES_tradnl"/>
              </w:rPr>
            </w:pPr>
          </w:p>
        </w:tc>
      </w:tr>
    </w:tbl>
    <w:p w14:paraId="75DFB9EE" w14:textId="6627EE0B" w:rsidR="00320F99" w:rsidRPr="00D9432D" w:rsidRDefault="00320F99" w:rsidP="00320F99">
      <w:pPr>
        <w:pStyle w:val="BBTitle"/>
        <w:rPr>
          <w:lang w:val="es-ES_tradnl"/>
        </w:rPr>
      </w:pPr>
      <w:r w:rsidRPr="00D9432D">
        <w:rPr>
          <w:bCs/>
          <w:lang w:val="es-ES_tradnl"/>
        </w:rPr>
        <w:t>Proyecto de decisión XXXVIII/[--]: organización del Grupo de</w:t>
      </w:r>
      <w:r w:rsidR="00D9432D">
        <w:rPr>
          <w:bCs/>
          <w:lang w:val="es-ES_tradnl"/>
        </w:rPr>
        <w:t> </w:t>
      </w:r>
      <w:r w:rsidRPr="00D9432D">
        <w:rPr>
          <w:bCs/>
          <w:lang w:val="es-ES_tradnl"/>
        </w:rPr>
        <w:t>Evaluación Tecnológica y Económica y sus comités de opciones técnicas</w:t>
      </w:r>
    </w:p>
    <w:p w14:paraId="22ECD88C" w14:textId="3E6C2AB7" w:rsidR="00320F99" w:rsidRPr="00D9432D" w:rsidRDefault="00320F99" w:rsidP="00320F99">
      <w:pPr>
        <w:pStyle w:val="CH2"/>
        <w:rPr>
          <w:lang w:val="es-ES_tradnl"/>
        </w:rPr>
      </w:pPr>
      <w:r w:rsidRPr="00D9432D">
        <w:rPr>
          <w:lang w:val="es-ES_tradnl"/>
        </w:rPr>
        <w:tab/>
      </w:r>
      <w:r w:rsidRPr="00D9432D">
        <w:rPr>
          <w:lang w:val="es-ES_tradnl"/>
        </w:rPr>
        <w:tab/>
      </w:r>
      <w:r w:rsidRPr="00D9432D">
        <w:rPr>
          <w:bCs/>
          <w:lang w:val="es-ES_tradnl"/>
        </w:rPr>
        <w:t>Presentación de Australia y los Estados Unidos de América</w:t>
      </w:r>
    </w:p>
    <w:p w14:paraId="733C3AB6" w14:textId="77777777" w:rsidR="00320F99" w:rsidRPr="00D9432D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  <w:lang w:val="es-ES_tradnl"/>
        </w:rPr>
      </w:pPr>
      <w:r w:rsidRPr="00D9432D">
        <w:rPr>
          <w:i/>
          <w:iCs/>
          <w:lang w:val="es-ES_tradnl"/>
        </w:rPr>
        <w:t>La 38ª Reunión de las Partes,</w:t>
      </w:r>
    </w:p>
    <w:p w14:paraId="68A55FBC" w14:textId="05D046A5" w:rsidR="00320F99" w:rsidRPr="00D9432D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s-ES_tradnl"/>
        </w:rPr>
      </w:pPr>
      <w:r w:rsidRPr="00D9432D">
        <w:rPr>
          <w:rFonts w:eastAsiaTheme="minorEastAsia"/>
          <w:i/>
          <w:iCs/>
          <w:lang w:val="es-ES_tradnl"/>
        </w:rPr>
        <w:t>Tomando nota</w:t>
      </w:r>
      <w:r w:rsidRPr="00D9432D">
        <w:rPr>
          <w:rFonts w:eastAsiaTheme="minorEastAsia"/>
          <w:lang w:val="es-ES_tradnl"/>
        </w:rPr>
        <w:t xml:space="preserve"> de la sección 8.3 del informe sobre la marcha de los trabajos del Grupo de</w:t>
      </w:r>
      <w:r w:rsidR="00D9432D">
        <w:rPr>
          <w:rFonts w:eastAsiaTheme="minorEastAsia"/>
          <w:lang w:val="es-ES_tradnl"/>
        </w:rPr>
        <w:t> </w:t>
      </w:r>
      <w:r w:rsidRPr="00D9432D">
        <w:rPr>
          <w:rFonts w:eastAsiaTheme="minorEastAsia"/>
          <w:lang w:val="es-ES_tradnl"/>
        </w:rPr>
        <w:t>Evaluación Tecnológica y Económica correspondiente a 2026</w:t>
      </w:r>
      <w:r w:rsidR="00DB030E" w:rsidRPr="00D9432D">
        <w:rPr>
          <w:rStyle w:val="FootnoteReference"/>
          <w:rFonts w:eastAsiaTheme="minorEastAsia"/>
          <w:lang w:val="es-ES_tradnl" w:eastAsia="zh-CN"/>
        </w:rPr>
        <w:footnoteReference w:id="2"/>
      </w:r>
      <w:r w:rsidRPr="00D9432D">
        <w:rPr>
          <w:rFonts w:eastAsiaTheme="minorEastAsia"/>
          <w:lang w:val="es-ES_tradnl"/>
        </w:rPr>
        <w:t>, sobre las opciones para la organización del Grupo y sus comités de opciones técnicas, preparado en respuesta a la decisión</w:t>
      </w:r>
      <w:r w:rsidR="00D9432D">
        <w:rPr>
          <w:rFonts w:eastAsiaTheme="minorEastAsia"/>
          <w:lang w:val="es-ES_tradnl"/>
        </w:rPr>
        <w:t> </w:t>
      </w:r>
      <w:r w:rsidRPr="00D9432D">
        <w:rPr>
          <w:rFonts w:eastAsiaTheme="minorEastAsia"/>
          <w:lang w:val="es-ES_tradnl"/>
        </w:rPr>
        <w:t>XXXV/20,</w:t>
      </w:r>
    </w:p>
    <w:p w14:paraId="364A222D" w14:textId="77777777" w:rsidR="00320F99" w:rsidRPr="00D9432D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s-ES_tradnl"/>
        </w:rPr>
      </w:pPr>
      <w:r w:rsidRPr="00D9432D">
        <w:rPr>
          <w:i/>
          <w:iCs/>
          <w:lang w:val="es-ES_tradnl"/>
        </w:rPr>
        <w:t>Decide:</w:t>
      </w:r>
    </w:p>
    <w:p w14:paraId="550DDD0E" w14:textId="77777777" w:rsidR="00320F99" w:rsidRPr="00D9432D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D9432D">
        <w:rPr>
          <w:lang w:val="es-ES_tradnl"/>
        </w:rPr>
        <w:t>Solicitar al Grupo de Evaluación Tecnológica y Económica que haga lo siguiente:</w:t>
      </w:r>
    </w:p>
    <w:p w14:paraId="0FE65195" w14:textId="503DF54C" w:rsidR="00320F99" w:rsidRPr="00D9432D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D9432D">
        <w:rPr>
          <w:lang w:val="es-ES_tradnl"/>
        </w:rPr>
        <w:t>Estructurar el Comité de opciones técnicas médicas y sobre productos químicos en</w:t>
      </w:r>
      <w:r w:rsidR="00232468">
        <w:rPr>
          <w:lang w:val="es-ES_tradnl"/>
        </w:rPr>
        <w:t> </w:t>
      </w:r>
      <w:r w:rsidRPr="00D9432D">
        <w:rPr>
          <w:lang w:val="es-ES_tradnl"/>
        </w:rPr>
        <w:t>dos</w:t>
      </w:r>
      <w:r w:rsidR="00D9432D">
        <w:rPr>
          <w:lang w:val="es-ES_tradnl"/>
        </w:rPr>
        <w:t> </w:t>
      </w:r>
      <w:r w:rsidRPr="00D9432D">
        <w:rPr>
          <w:lang w:val="es-ES_tradnl"/>
        </w:rPr>
        <w:t>subcomités, uno sobre aerosoles y cuestiones médicas y otro sobre productos químicos, y revisar</w:t>
      </w:r>
      <w:r w:rsidR="00232468">
        <w:rPr>
          <w:lang w:val="es-ES_tradnl"/>
        </w:rPr>
        <w:t> </w:t>
      </w:r>
      <w:r w:rsidRPr="00D9432D">
        <w:rPr>
          <w:lang w:val="es-ES_tradnl"/>
        </w:rPr>
        <w:t>esa estructura en 2030;</w:t>
      </w:r>
    </w:p>
    <w:p w14:paraId="11D47F66" w14:textId="12637D34" w:rsidR="00320F99" w:rsidRPr="00D9432D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D9432D">
        <w:rPr>
          <w:lang w:val="es-ES_tradnl"/>
        </w:rPr>
        <w:t>Limitar la obligación de presentar notificaciones del Comité de opciones técnicas sobre</w:t>
      </w:r>
      <w:r w:rsidR="00D9432D">
        <w:rPr>
          <w:lang w:val="es-ES_tradnl"/>
        </w:rPr>
        <w:t> </w:t>
      </w:r>
      <w:r w:rsidRPr="00D9432D">
        <w:rPr>
          <w:lang w:val="es-ES_tradnl"/>
        </w:rPr>
        <w:t>el bromuro de metilo y del Comité de opciones técnicas sobre espumas flexibles y rígidas a los informes de evaluación cuadrienales, excepto cuando sea necesario presentar un informe en respuesta a una decisión específica de la Reunión de las Partes;</w:t>
      </w:r>
    </w:p>
    <w:p w14:paraId="20281D5C" w14:textId="26D75349" w:rsidR="00320F99" w:rsidRPr="00D9432D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D9432D">
        <w:rPr>
          <w:lang w:val="es-ES_tradnl"/>
        </w:rPr>
        <w:t xml:space="preserve">Reconocer la continuidad de la estructura de dos subcomités del Comité de opciones técnicas sobre refrigeración, aire acondicionado y bombas de calor, que se revisará en 2030; </w:t>
      </w:r>
    </w:p>
    <w:p w14:paraId="3DFB19D4" w14:textId="7A491188" w:rsidR="00320F99" w:rsidRPr="00D9432D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s-ES_tradnl"/>
        </w:rPr>
      </w:pPr>
      <w:r w:rsidRPr="00D9432D">
        <w:rPr>
          <w:lang w:val="es-ES_tradnl"/>
        </w:rPr>
        <w:t xml:space="preserve">Recordar al Grupo de Evaluación Tecnológica y Económica que limite a un máximo de cuatro el número de expertos de alto nivel que lo integran, y velar por que esos expertos no formen parte actualmente de ningún Comité de opciones técnicas; </w:t>
      </w:r>
    </w:p>
    <w:p w14:paraId="651AB7D3" w14:textId="037773F0" w:rsidR="00320F99" w:rsidRPr="00D9432D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Theme="minorHAnsi"/>
          <w:kern w:val="2"/>
          <w:lang w:val="es-ES_tradnl"/>
          <w14:ligatures w14:val="standardContextual"/>
        </w:rPr>
      </w:pPr>
      <w:r w:rsidRPr="00D9432D">
        <w:rPr>
          <w:lang w:val="es-ES_tradnl"/>
        </w:rPr>
        <w:t>Limitar las reuniones presenciales de los órganos subsidiarios del Grupo de Evaluación Tecnológica y Económica a los comités de opciones técnicas y los órganos subsidiarios temporales que deban presentar ese año un informe de importancia a las Partes ese año, como una respuesta a una</w:t>
      </w:r>
      <w:r w:rsidR="00D9432D">
        <w:rPr>
          <w:lang w:val="es-ES_tradnl"/>
        </w:rPr>
        <w:t> </w:t>
      </w:r>
      <w:r w:rsidRPr="00D9432D">
        <w:rPr>
          <w:lang w:val="es-ES_tradnl"/>
        </w:rPr>
        <w:t xml:space="preserve">decisión concreta, o </w:t>
      </w:r>
      <w:r w:rsidR="00541792" w:rsidRPr="00D9432D">
        <w:rPr>
          <w:lang w:val="es-ES_tradnl"/>
        </w:rPr>
        <w:t>a</w:t>
      </w:r>
      <w:r w:rsidRPr="00D9432D">
        <w:rPr>
          <w:lang w:val="es-ES_tradnl"/>
        </w:rPr>
        <w:t xml:space="preserve"> los casos en que las reuniones presenciales sean necesarias para mantener la</w:t>
      </w:r>
      <w:r w:rsidR="00D9432D">
        <w:rPr>
          <w:lang w:val="es-ES_tradnl"/>
        </w:rPr>
        <w:t> </w:t>
      </w:r>
      <w:r w:rsidRPr="00D9432D">
        <w:rPr>
          <w:lang w:val="es-ES_tradnl"/>
        </w:rPr>
        <w:t>calidad y la eficacia de su labor.</w:t>
      </w:r>
    </w:p>
    <w:p w14:paraId="4704C4CB" w14:textId="7DDAE2F1" w:rsidR="00AE543B" w:rsidRPr="00D9432D" w:rsidRDefault="00AE543B" w:rsidP="00A73DD7">
      <w:pPr>
        <w:pStyle w:val="Normal-pool"/>
        <w:rPr>
          <w:sz w:val="4"/>
          <w:szCs w:val="4"/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D9432D" w14:paraId="14481E4E" w14:textId="77777777" w:rsidTr="00A73DD7">
        <w:tc>
          <w:tcPr>
            <w:tcW w:w="1897" w:type="dxa"/>
          </w:tcPr>
          <w:p w14:paraId="44517F49" w14:textId="77777777" w:rsidR="00A73DD7" w:rsidRPr="00D9432D" w:rsidRDefault="00A73DD7" w:rsidP="00D9432D">
            <w:pPr>
              <w:pStyle w:val="Normal-pool"/>
              <w:rPr>
                <w:sz w:val="4"/>
                <w:szCs w:val="4"/>
                <w:lang w:val="es-ES_tradnl"/>
              </w:rPr>
            </w:pPr>
          </w:p>
        </w:tc>
        <w:tc>
          <w:tcPr>
            <w:tcW w:w="1897" w:type="dxa"/>
          </w:tcPr>
          <w:p w14:paraId="058CE27F" w14:textId="77777777" w:rsidR="00A73DD7" w:rsidRPr="00D9432D" w:rsidRDefault="00A73DD7" w:rsidP="00D9432D">
            <w:pPr>
              <w:pStyle w:val="Normal-pool"/>
              <w:rPr>
                <w:sz w:val="4"/>
                <w:szCs w:val="4"/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D9432D" w:rsidRDefault="00A73DD7" w:rsidP="00D9432D">
            <w:pPr>
              <w:pStyle w:val="Normal-pool"/>
              <w:rPr>
                <w:sz w:val="4"/>
                <w:szCs w:val="4"/>
                <w:lang w:val="es-ES_tradnl"/>
              </w:rPr>
            </w:pPr>
          </w:p>
        </w:tc>
        <w:tc>
          <w:tcPr>
            <w:tcW w:w="1898" w:type="dxa"/>
          </w:tcPr>
          <w:p w14:paraId="2A79DBF7" w14:textId="77777777" w:rsidR="00A73DD7" w:rsidRPr="00D9432D" w:rsidRDefault="00A73DD7" w:rsidP="00D9432D">
            <w:pPr>
              <w:pStyle w:val="Normal-pool"/>
              <w:rPr>
                <w:sz w:val="4"/>
                <w:szCs w:val="4"/>
                <w:lang w:val="es-ES_tradnl"/>
              </w:rPr>
            </w:pPr>
          </w:p>
        </w:tc>
        <w:tc>
          <w:tcPr>
            <w:tcW w:w="1898" w:type="dxa"/>
          </w:tcPr>
          <w:p w14:paraId="1FF85100" w14:textId="77777777" w:rsidR="00A73DD7" w:rsidRPr="00D9432D" w:rsidRDefault="00A73DD7" w:rsidP="00D9432D">
            <w:pPr>
              <w:pStyle w:val="Normal-pool"/>
              <w:rPr>
                <w:sz w:val="4"/>
                <w:szCs w:val="4"/>
                <w:lang w:val="es-ES_tradnl"/>
              </w:rPr>
            </w:pPr>
          </w:p>
        </w:tc>
      </w:tr>
    </w:tbl>
    <w:p w14:paraId="3432546E" w14:textId="77777777" w:rsidR="00A73DD7" w:rsidRPr="00D9432D" w:rsidRDefault="00A73DD7" w:rsidP="00D9432D">
      <w:pPr>
        <w:pStyle w:val="Normal-pool"/>
        <w:rPr>
          <w:sz w:val="4"/>
          <w:szCs w:val="4"/>
          <w:lang w:val="es-ES_tradnl"/>
        </w:rPr>
      </w:pPr>
    </w:p>
    <w:sectPr w:rsidR="00A73DD7" w:rsidRPr="00D9432D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750B1" w14:textId="77777777" w:rsidR="00CD2D0B" w:rsidRPr="00AE543B" w:rsidRDefault="00CD2D0B">
      <w:r w:rsidRPr="00AE543B">
        <w:separator/>
      </w:r>
    </w:p>
  </w:endnote>
  <w:endnote w:type="continuationSeparator" w:id="0">
    <w:p w14:paraId="1FF5306F" w14:textId="77777777" w:rsidR="00CD2D0B" w:rsidRPr="00AE543B" w:rsidRDefault="00CD2D0B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199297AA" w:rsidR="00AB33D9" w:rsidRDefault="00AB33D9" w:rsidP="00AB33D9">
    <w:pPr>
      <w:pStyle w:val="Footer-jobnumber"/>
    </w:pPr>
    <w:bookmarkStart w:id="2" w:name="FooterJobDate"/>
    <w:r>
      <w:t>UNON_DCS_261</w:t>
    </w:r>
    <w:r w:rsidR="009A455A">
      <w:t>6406</w:t>
    </w:r>
    <w:r>
      <w:t>[</w:t>
    </w:r>
    <w:r w:rsidR="00D9432D">
      <w:t>S</w:t>
    </w:r>
    <w:r>
      <w:t>]</w:t>
    </w:r>
    <w:r>
      <w:tab/>
    </w:r>
    <w:r w:rsidR="0076660A">
      <w:t>0</w:t>
    </w:r>
    <w:r w:rsidR="00D9432D">
      <w:t>3</w:t>
    </w:r>
    <w:r>
      <w:t>1126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0DEAB" w14:textId="77777777" w:rsidR="00CD2D0B" w:rsidRPr="00AE543B" w:rsidRDefault="00CD2D0B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23E12B0F" w14:textId="77777777" w:rsidR="00CD2D0B" w:rsidRPr="00AE543B" w:rsidRDefault="00CD2D0B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627F65B" w14:textId="77777777" w:rsidR="00CD2D0B" w:rsidRPr="00AE543B" w:rsidRDefault="00CD2D0B" w:rsidP="00C70B49">
      <w:pPr>
        <w:pStyle w:val="ASpacer"/>
      </w:pPr>
    </w:p>
  </w:footnote>
  <w:footnote w:id="2">
    <w:p w14:paraId="0BD52C8F" w14:textId="77777777" w:rsidR="00DB030E" w:rsidRPr="00AF1CA1" w:rsidRDefault="00DB030E" w:rsidP="00453983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247"/>
        <w:rPr>
          <w:sz w:val="18"/>
          <w:szCs w:val="18"/>
        </w:rPr>
      </w:pPr>
      <w:r w:rsidRPr="00AF1CA1">
        <w:rPr>
          <w:rStyle w:val="FootnoteReference"/>
          <w:sz w:val="18"/>
          <w:lang w:val="es-ES"/>
        </w:rPr>
        <w:footnoteRef/>
      </w:r>
      <w:r>
        <w:rPr>
          <w:sz w:val="18"/>
          <w:szCs w:val="18"/>
          <w:lang w:val="es-ES"/>
        </w:rPr>
        <w:t xml:space="preserve"> Programa de las Naciones Unidas para el Medio Ambiente, </w:t>
      </w:r>
      <w:proofErr w:type="spellStart"/>
      <w:r>
        <w:rPr>
          <w:i/>
          <w:iCs/>
          <w:sz w:val="18"/>
          <w:szCs w:val="18"/>
          <w:lang w:val="es-ES"/>
        </w:rPr>
        <w:t>Report</w:t>
      </w:r>
      <w:proofErr w:type="spellEnd"/>
      <w:r>
        <w:rPr>
          <w:i/>
          <w:iCs/>
          <w:sz w:val="18"/>
          <w:szCs w:val="18"/>
          <w:lang w:val="es-ES"/>
        </w:rPr>
        <w:t xml:space="preserve"> of </w:t>
      </w:r>
      <w:proofErr w:type="spellStart"/>
      <w:r>
        <w:rPr>
          <w:i/>
          <w:iCs/>
          <w:sz w:val="18"/>
          <w:szCs w:val="18"/>
          <w:lang w:val="es-ES"/>
        </w:rPr>
        <w:t>the</w:t>
      </w:r>
      <w:proofErr w:type="spellEnd"/>
      <w:r>
        <w:rPr>
          <w:i/>
          <w:iCs/>
          <w:sz w:val="18"/>
          <w:szCs w:val="18"/>
          <w:lang w:val="es-ES"/>
        </w:rPr>
        <w:t xml:space="preserve"> </w:t>
      </w:r>
      <w:proofErr w:type="spellStart"/>
      <w:r>
        <w:rPr>
          <w:i/>
          <w:iCs/>
          <w:sz w:val="18"/>
          <w:szCs w:val="18"/>
          <w:lang w:val="es-ES"/>
        </w:rPr>
        <w:t>Technology</w:t>
      </w:r>
      <w:proofErr w:type="spellEnd"/>
      <w:r>
        <w:rPr>
          <w:i/>
          <w:iCs/>
          <w:sz w:val="18"/>
          <w:szCs w:val="18"/>
          <w:lang w:val="es-ES"/>
        </w:rPr>
        <w:t xml:space="preserve"> and </w:t>
      </w:r>
      <w:proofErr w:type="spellStart"/>
      <w:r>
        <w:rPr>
          <w:i/>
          <w:iCs/>
          <w:sz w:val="18"/>
          <w:szCs w:val="18"/>
          <w:lang w:val="es-ES"/>
        </w:rPr>
        <w:t>Economic</w:t>
      </w:r>
      <w:proofErr w:type="spellEnd"/>
      <w:r>
        <w:rPr>
          <w:i/>
          <w:iCs/>
          <w:sz w:val="18"/>
          <w:szCs w:val="18"/>
          <w:lang w:val="es-ES"/>
        </w:rPr>
        <w:t xml:space="preserve"> </w:t>
      </w:r>
      <w:proofErr w:type="spellStart"/>
      <w:r>
        <w:rPr>
          <w:i/>
          <w:iCs/>
          <w:sz w:val="18"/>
          <w:szCs w:val="18"/>
          <w:lang w:val="es-ES"/>
        </w:rPr>
        <w:t>Assessment</w:t>
      </w:r>
      <w:proofErr w:type="spellEnd"/>
      <w:r>
        <w:rPr>
          <w:i/>
          <w:iCs/>
          <w:sz w:val="18"/>
          <w:szCs w:val="18"/>
          <w:lang w:val="es-ES"/>
        </w:rPr>
        <w:t xml:space="preserve"> Panel. </w:t>
      </w:r>
      <w:proofErr w:type="spellStart"/>
      <w:r>
        <w:rPr>
          <w:i/>
          <w:iCs/>
          <w:sz w:val="18"/>
          <w:szCs w:val="18"/>
          <w:lang w:val="es-ES"/>
        </w:rPr>
        <w:t>Volume</w:t>
      </w:r>
      <w:proofErr w:type="spellEnd"/>
      <w:r>
        <w:rPr>
          <w:i/>
          <w:iCs/>
          <w:sz w:val="18"/>
          <w:szCs w:val="18"/>
          <w:lang w:val="es-ES"/>
        </w:rPr>
        <w:t xml:space="preserve"> 1 – </w:t>
      </w:r>
      <w:proofErr w:type="spellStart"/>
      <w:r>
        <w:rPr>
          <w:i/>
          <w:iCs/>
          <w:sz w:val="18"/>
          <w:szCs w:val="18"/>
          <w:lang w:val="es-ES"/>
        </w:rPr>
        <w:t>Progress</w:t>
      </w:r>
      <w:proofErr w:type="spellEnd"/>
      <w:r>
        <w:rPr>
          <w:i/>
          <w:iCs/>
          <w:sz w:val="18"/>
          <w:szCs w:val="18"/>
          <w:lang w:val="es-ES"/>
        </w:rPr>
        <w:t xml:space="preserve"> </w:t>
      </w:r>
      <w:proofErr w:type="spellStart"/>
      <w:r>
        <w:rPr>
          <w:i/>
          <w:iCs/>
          <w:sz w:val="18"/>
          <w:szCs w:val="18"/>
          <w:lang w:val="es-ES"/>
        </w:rPr>
        <w:t>Report</w:t>
      </w:r>
      <w:proofErr w:type="spellEnd"/>
      <w:r>
        <w:rPr>
          <w:sz w:val="18"/>
          <w:szCs w:val="18"/>
          <w:lang w:val="es-ES"/>
        </w:rPr>
        <w:t>, mayo de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1A292507" w:rsidR="007A36F8" w:rsidRPr="00AE543B" w:rsidRDefault="0076660A" w:rsidP="00AE543B">
    <w:pPr>
      <w:pStyle w:val="Header-pool"/>
    </w:pPr>
    <w:r>
      <w:rPr>
        <w:noProof/>
      </w:rPr>
      <w:t>UNEP/OzL.Pro.38/CRP.5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5D44D3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4083A"/>
    <w:rsid w:val="001408E5"/>
    <w:rsid w:val="00141A55"/>
    <w:rsid w:val="00141F2F"/>
    <w:rsid w:val="001446A3"/>
    <w:rsid w:val="001458EC"/>
    <w:rsid w:val="00146C56"/>
    <w:rsid w:val="00152F21"/>
    <w:rsid w:val="00155395"/>
    <w:rsid w:val="001554C7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762D"/>
    <w:rsid w:val="00232303"/>
    <w:rsid w:val="00232468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035A8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B162C"/>
    <w:rsid w:val="004C28A5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53B"/>
    <w:rsid w:val="00506DE5"/>
    <w:rsid w:val="00516E79"/>
    <w:rsid w:val="005218D9"/>
    <w:rsid w:val="00521F2C"/>
    <w:rsid w:val="00531C61"/>
    <w:rsid w:val="00532E47"/>
    <w:rsid w:val="00534D85"/>
    <w:rsid w:val="00536186"/>
    <w:rsid w:val="00536826"/>
    <w:rsid w:val="005403B2"/>
    <w:rsid w:val="00541792"/>
    <w:rsid w:val="00543D7F"/>
    <w:rsid w:val="00544CBB"/>
    <w:rsid w:val="005463FD"/>
    <w:rsid w:val="00550518"/>
    <w:rsid w:val="00552CD6"/>
    <w:rsid w:val="00554284"/>
    <w:rsid w:val="005667F6"/>
    <w:rsid w:val="00571DF1"/>
    <w:rsid w:val="0057315F"/>
    <w:rsid w:val="00575DF1"/>
    <w:rsid w:val="00576104"/>
    <w:rsid w:val="00583313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868F7"/>
    <w:rsid w:val="00690922"/>
    <w:rsid w:val="00692E2A"/>
    <w:rsid w:val="006A1D44"/>
    <w:rsid w:val="006A3426"/>
    <w:rsid w:val="006A76F2"/>
    <w:rsid w:val="006B5821"/>
    <w:rsid w:val="006C3DDA"/>
    <w:rsid w:val="006D3277"/>
    <w:rsid w:val="006D7EFB"/>
    <w:rsid w:val="006E6672"/>
    <w:rsid w:val="006E6722"/>
    <w:rsid w:val="006F04F9"/>
    <w:rsid w:val="006F10F1"/>
    <w:rsid w:val="007027B9"/>
    <w:rsid w:val="007137E1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070B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454F"/>
    <w:rsid w:val="007779DD"/>
    <w:rsid w:val="00783907"/>
    <w:rsid w:val="00796D3F"/>
    <w:rsid w:val="00797286"/>
    <w:rsid w:val="007A07C8"/>
    <w:rsid w:val="007A1683"/>
    <w:rsid w:val="007A36F8"/>
    <w:rsid w:val="007A5C12"/>
    <w:rsid w:val="007A7CB0"/>
    <w:rsid w:val="007B68A3"/>
    <w:rsid w:val="007C10C5"/>
    <w:rsid w:val="007C2541"/>
    <w:rsid w:val="007D2BF7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33EB7"/>
    <w:rsid w:val="00842CEE"/>
    <w:rsid w:val="00843576"/>
    <w:rsid w:val="00843B64"/>
    <w:rsid w:val="008470BD"/>
    <w:rsid w:val="008478FC"/>
    <w:rsid w:val="00855B4F"/>
    <w:rsid w:val="00860682"/>
    <w:rsid w:val="008608C9"/>
    <w:rsid w:val="00867BFF"/>
    <w:rsid w:val="008718ED"/>
    <w:rsid w:val="00880621"/>
    <w:rsid w:val="0088480A"/>
    <w:rsid w:val="00887314"/>
    <w:rsid w:val="0088757A"/>
    <w:rsid w:val="008957DD"/>
    <w:rsid w:val="00897D98"/>
    <w:rsid w:val="008A17D8"/>
    <w:rsid w:val="008A26B4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6054"/>
    <w:rsid w:val="009B4A0F"/>
    <w:rsid w:val="009C0FEC"/>
    <w:rsid w:val="009C11D2"/>
    <w:rsid w:val="009C1874"/>
    <w:rsid w:val="009C6C70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1969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22C93"/>
    <w:rsid w:val="00B244E4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5677"/>
    <w:rsid w:val="00B779E1"/>
    <w:rsid w:val="00B859A3"/>
    <w:rsid w:val="00B86DF9"/>
    <w:rsid w:val="00B91EE1"/>
    <w:rsid w:val="00BA0090"/>
    <w:rsid w:val="00BA1A67"/>
    <w:rsid w:val="00BB49DE"/>
    <w:rsid w:val="00BC07FE"/>
    <w:rsid w:val="00BC14F4"/>
    <w:rsid w:val="00BC2858"/>
    <w:rsid w:val="00BD0163"/>
    <w:rsid w:val="00BD159E"/>
    <w:rsid w:val="00BD6A0C"/>
    <w:rsid w:val="00BE5B5F"/>
    <w:rsid w:val="00BE77D4"/>
    <w:rsid w:val="00BE7F3A"/>
    <w:rsid w:val="00BF2D2B"/>
    <w:rsid w:val="00C02AFB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67DC"/>
    <w:rsid w:val="00CA6C7F"/>
    <w:rsid w:val="00CA78AF"/>
    <w:rsid w:val="00CB6F8C"/>
    <w:rsid w:val="00CC0260"/>
    <w:rsid w:val="00CC10A6"/>
    <w:rsid w:val="00CD2D0B"/>
    <w:rsid w:val="00CD5EB8"/>
    <w:rsid w:val="00CD681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42EEF"/>
    <w:rsid w:val="00D44172"/>
    <w:rsid w:val="00D4634A"/>
    <w:rsid w:val="00D46D52"/>
    <w:rsid w:val="00D526D8"/>
    <w:rsid w:val="00D572FE"/>
    <w:rsid w:val="00D63B8C"/>
    <w:rsid w:val="00D7072E"/>
    <w:rsid w:val="00D712FD"/>
    <w:rsid w:val="00D72CB6"/>
    <w:rsid w:val="00D739CC"/>
    <w:rsid w:val="00D8093D"/>
    <w:rsid w:val="00D8108C"/>
    <w:rsid w:val="00D842AE"/>
    <w:rsid w:val="00D9211C"/>
    <w:rsid w:val="00D92DE0"/>
    <w:rsid w:val="00D92FEF"/>
    <w:rsid w:val="00D93139"/>
    <w:rsid w:val="00D93A0F"/>
    <w:rsid w:val="00D9432D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0A15"/>
    <w:rsid w:val="00E012CF"/>
    <w:rsid w:val="00E0574F"/>
    <w:rsid w:val="00E06797"/>
    <w:rsid w:val="00E07861"/>
    <w:rsid w:val="00E11CDE"/>
    <w:rsid w:val="00E122BC"/>
    <w:rsid w:val="00E1265B"/>
    <w:rsid w:val="00E13B48"/>
    <w:rsid w:val="00E1404F"/>
    <w:rsid w:val="00E212EF"/>
    <w:rsid w:val="00E21C83"/>
    <w:rsid w:val="00E23BEA"/>
    <w:rsid w:val="00E24ADA"/>
    <w:rsid w:val="00E256CA"/>
    <w:rsid w:val="00E256F6"/>
    <w:rsid w:val="00E25C36"/>
    <w:rsid w:val="00E26562"/>
    <w:rsid w:val="00E2731B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B03F2"/>
    <w:rsid w:val="00EB3106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1E7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A6FA9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1</TotalTime>
  <Pages>1</Pages>
  <Words>387</Words>
  <Characters>2130</Characters>
  <Application>Microsoft Office Word</Application>
  <DocSecurity>0</DocSecurity>
  <PresentationFormat/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Jimena Vallejo Montes</cp:lastModifiedBy>
  <cp:revision>2</cp:revision>
  <cp:lastPrinted>2026-11-03T07:59:00Z</cp:lastPrinted>
  <dcterms:created xsi:type="dcterms:W3CDTF">2026-11-03T08:01:00Z</dcterms:created>
  <dcterms:modified xsi:type="dcterms:W3CDTF">2026-11-03T08:01:00Z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11/03/2026 06:11:25</vt:lpwstr>
  </property>
  <property fmtid="{D5CDD505-2E9C-101B-9397-08002B2CF9AE}" pid="15" name="OriginalDocID">
    <vt:lpwstr>1113d8ed-6494-493a-945b-bb38faaf78da</vt:lpwstr>
  </property>
</Properties>
</file>