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E760BF" w:rsidRPr="00E760BF" w14:paraId="62BBB148" w14:textId="77777777" w:rsidTr="00E760BF">
        <w:trPr>
          <w:trHeight w:val="340"/>
        </w:trPr>
        <w:tc>
          <w:tcPr>
            <w:tcW w:w="1559" w:type="dxa"/>
          </w:tcPr>
          <w:p w14:paraId="457B62CB" w14:textId="77777777" w:rsidR="00E760BF" w:rsidRPr="00E760BF" w:rsidRDefault="00E760BF" w:rsidP="00E760BF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4819" w:type="dxa"/>
          </w:tcPr>
          <w:p w14:paraId="2989D4DF" w14:textId="77777777" w:rsidR="00E760BF" w:rsidRPr="00E760BF" w:rsidRDefault="00E760BF" w:rsidP="00E760BF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27B841A9" w14:textId="77777777" w:rsidR="00E760BF" w:rsidRPr="00E760BF" w:rsidRDefault="00E760BF" w:rsidP="00E760BF">
            <w:pPr>
              <w:pStyle w:val="Normal-pool"/>
              <w:rPr>
                <w:rFonts w:eastAsiaTheme="minorEastAsia"/>
              </w:rPr>
            </w:pPr>
          </w:p>
        </w:tc>
      </w:tr>
    </w:tbl>
    <w:p w14:paraId="55422F68" w14:textId="77777777" w:rsidR="006533B3" w:rsidRPr="00E760BF" w:rsidRDefault="006533B3" w:rsidP="00E760BF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E760BF" w:rsidRPr="00E760BF" w14:paraId="7D5C58EE" w14:textId="77777777" w:rsidTr="00E760BF">
        <w:trPr>
          <w:trHeight w:val="340"/>
        </w:trPr>
        <w:tc>
          <w:tcPr>
            <w:tcW w:w="3358" w:type="pct"/>
            <w:vAlign w:val="bottom"/>
          </w:tcPr>
          <w:p w14:paraId="317D36B5" w14:textId="77777777" w:rsidR="00E760BF" w:rsidRPr="00E760BF" w:rsidRDefault="00E760BF" w:rsidP="00E760BF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2BA894AC" w14:textId="7A2603E3" w:rsidR="00E760BF" w:rsidRPr="00E760BF" w:rsidRDefault="00E760BF" w:rsidP="00E760BF">
            <w:pPr>
              <w:pStyle w:val="ASymbol"/>
            </w:pPr>
            <w:r w:rsidRPr="00E760BF">
              <w:rPr>
                <w:b/>
                <w:sz w:val="28"/>
              </w:rPr>
              <w:t>UNEP</w:t>
            </w:r>
            <w:r w:rsidRPr="00E760BF">
              <w:t>/OzL.Pro.WG.</w:t>
            </w:r>
            <w:bookmarkStart w:id="0" w:name="Symbol1A"/>
            <w:r w:rsidRPr="00E760BF">
              <w:t>1</w:t>
            </w:r>
            <w:bookmarkStart w:id="1" w:name="Symbol1B"/>
            <w:bookmarkEnd w:id="0"/>
            <w:r w:rsidRPr="00E760BF">
              <w:t>/48</w:t>
            </w:r>
            <w:bookmarkStart w:id="2" w:name="Symbol1C"/>
            <w:bookmarkEnd w:id="1"/>
            <w:r>
              <w:t>/CRP.5</w:t>
            </w:r>
            <w:bookmarkEnd w:id="2"/>
          </w:p>
        </w:tc>
      </w:tr>
    </w:tbl>
    <w:p w14:paraId="7809C551" w14:textId="77777777" w:rsidR="00E760BF" w:rsidRPr="00E760BF" w:rsidRDefault="00E760BF" w:rsidP="00E760BF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E760BF" w:rsidRPr="00E760BF" w14:paraId="2508109A" w14:textId="77777777" w:rsidTr="00E760BF">
        <w:trPr>
          <w:trHeight w:val="2098"/>
        </w:trPr>
        <w:tc>
          <w:tcPr>
            <w:tcW w:w="5102" w:type="dxa"/>
          </w:tcPr>
          <w:p w14:paraId="13F7AF65" w14:textId="424C7722" w:rsidR="00E760BF" w:rsidRPr="00E760BF" w:rsidRDefault="00E760BF" w:rsidP="00E760BF">
            <w:pPr>
              <w:pStyle w:val="AConvName"/>
              <w:rPr>
                <w:rFonts w:eastAsiaTheme="minorEastAsia"/>
              </w:rPr>
            </w:pPr>
            <w:r w:rsidRPr="00E760BF">
              <w:rPr>
                <w:rFonts w:eastAsiaTheme="minorEastAsia"/>
              </w:rPr>
              <w:t xml:space="preserve">United Nations </w:t>
            </w:r>
            <w:r w:rsidRPr="00E760BF">
              <w:rPr>
                <w:rFonts w:eastAsiaTheme="minorEastAsia"/>
              </w:rPr>
              <w:br/>
              <w:t xml:space="preserve">Environment </w:t>
            </w:r>
            <w:r w:rsidRPr="00E760BF">
              <w:rPr>
                <w:rFonts w:eastAsiaTheme="minorEastAsia"/>
              </w:rPr>
              <w:br/>
              <w:t>Programme</w:t>
            </w:r>
          </w:p>
        </w:tc>
        <w:tc>
          <w:tcPr>
            <w:tcW w:w="1276" w:type="dxa"/>
          </w:tcPr>
          <w:p w14:paraId="20107F20" w14:textId="77777777" w:rsidR="00E760BF" w:rsidRPr="00E760BF" w:rsidRDefault="00E760BF" w:rsidP="00E760BF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2646DD0C" w14:textId="7234AFB8" w:rsidR="00E760BF" w:rsidRPr="00E760BF" w:rsidRDefault="00E760BF" w:rsidP="00E760BF">
            <w:pPr>
              <w:pStyle w:val="AText"/>
              <w:rPr>
                <w:rFonts w:eastAsiaTheme="minorEastAsia"/>
              </w:rPr>
            </w:pPr>
            <w:bookmarkStart w:id="3" w:name="DistributionDate"/>
            <w:r>
              <w:rPr>
                <w:rFonts w:eastAsiaTheme="minorEastAsia"/>
              </w:rPr>
              <w:t>14 July 2026</w:t>
            </w:r>
            <w:bookmarkEnd w:id="3"/>
            <w:r w:rsidRPr="00E760BF">
              <w:rPr>
                <w:rFonts w:eastAsiaTheme="minorEastAsia"/>
              </w:rPr>
              <w:t xml:space="preserve"> </w:t>
            </w:r>
          </w:p>
          <w:p w14:paraId="33E9A267" w14:textId="41BE87A9" w:rsidR="00E760BF" w:rsidRPr="00E760BF" w:rsidRDefault="00E760BF" w:rsidP="00E760BF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E760BF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33234FC7" w14:textId="77777777" w:rsidR="00E760BF" w:rsidRPr="00E760BF" w:rsidRDefault="00E760BF" w:rsidP="00E760BF">
      <w:pPr>
        <w:pStyle w:val="ASpacer"/>
        <w:rPr>
          <w:rFonts w:eastAsiaTheme="minorEastAsia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E760BF" w:rsidRPr="00E760BF" w14:paraId="173D3DF8" w14:textId="77777777" w:rsidTr="00E760BF">
        <w:trPr>
          <w:trHeight w:val="57"/>
        </w:trPr>
        <w:tc>
          <w:tcPr>
            <w:tcW w:w="5528" w:type="dxa"/>
          </w:tcPr>
          <w:p w14:paraId="2CF8F7D9" w14:textId="77777777" w:rsidR="00E760BF" w:rsidRPr="00E760BF" w:rsidRDefault="00E760BF" w:rsidP="00E760BF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E760BF">
              <w:rPr>
                <w:rFonts w:eastAsiaTheme="minorEastAsia"/>
              </w:rPr>
              <w:t xml:space="preserve">Open-ended Working Group of the Parties </w:t>
            </w:r>
            <w:r w:rsidRPr="00E760BF">
              <w:rPr>
                <w:rFonts w:eastAsiaTheme="minorEastAsia"/>
              </w:rPr>
              <w:br/>
              <w:t xml:space="preserve">to the Montreal Protocol on Substances </w:t>
            </w:r>
            <w:r w:rsidRPr="00E760BF">
              <w:rPr>
                <w:rFonts w:eastAsiaTheme="minorEastAsia"/>
              </w:rPr>
              <w:br/>
              <w:t xml:space="preserve">that Deplete the Ozone Layer </w:t>
            </w:r>
          </w:p>
          <w:p w14:paraId="3D91F8AE" w14:textId="1BB8A0B0" w:rsidR="00E760BF" w:rsidRPr="00E760BF" w:rsidRDefault="00E760BF" w:rsidP="00E760BF">
            <w:pPr>
              <w:pStyle w:val="AATitle"/>
              <w:rPr>
                <w:rFonts w:eastAsiaTheme="minorEastAsia"/>
              </w:rPr>
            </w:pPr>
            <w:r w:rsidRPr="00E760BF">
              <w:rPr>
                <w:rFonts w:eastAsiaTheme="minorEastAsia"/>
              </w:rPr>
              <w:t>Forty-eighth meeting</w:t>
            </w:r>
            <w:bookmarkEnd w:id="5"/>
            <w:r w:rsidRPr="00E760BF">
              <w:rPr>
                <w:rFonts w:eastAsiaTheme="minorEastAsia"/>
              </w:rPr>
              <w:t xml:space="preserve"> </w:t>
            </w:r>
          </w:p>
          <w:p w14:paraId="77CA7874" w14:textId="3869CD58" w:rsidR="00E760BF" w:rsidRPr="00E760BF" w:rsidRDefault="00E760BF" w:rsidP="00E760BF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E760BF">
              <w:rPr>
                <w:rFonts w:eastAsiaTheme="minorEastAsia"/>
              </w:rPr>
              <w:t>Bangkok, 13–17 July 2026</w:t>
            </w:r>
            <w:bookmarkEnd w:id="6"/>
            <w:r w:rsidRPr="00E760BF">
              <w:rPr>
                <w:rFonts w:eastAsiaTheme="minorEastAsia"/>
              </w:rPr>
              <w:t xml:space="preserve"> </w:t>
            </w:r>
          </w:p>
          <w:p w14:paraId="31A6AE15" w14:textId="1E1D83E8" w:rsidR="00E760BF" w:rsidRPr="00E760BF" w:rsidRDefault="00E760BF" w:rsidP="00E760BF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rFonts w:eastAsiaTheme="minorEastAsia"/>
              </w:rPr>
              <w:t>Agenda item 4 (e)</w:t>
            </w:r>
            <w:bookmarkEnd w:id="7"/>
            <w:r w:rsidRPr="00E760BF">
              <w:rPr>
                <w:rFonts w:eastAsiaTheme="minorEastAsia"/>
              </w:rPr>
              <w:t xml:space="preserve"> </w:t>
            </w:r>
          </w:p>
          <w:p w14:paraId="6D2DFD66" w14:textId="4CA37892" w:rsidR="00E760BF" w:rsidRPr="00E760BF" w:rsidRDefault="00E760BF" w:rsidP="00E760BF">
            <w:pPr>
              <w:pStyle w:val="AATitle2"/>
              <w:rPr>
                <w:rFonts w:eastAsiaTheme="minorEastAsia"/>
              </w:rPr>
            </w:pPr>
            <w:bookmarkStart w:id="8" w:name="CorNot1AgTitle"/>
            <w:r>
              <w:rPr>
                <w:rFonts w:eastAsiaTheme="minorEastAsia"/>
              </w:rPr>
              <w:t>Presentation</w:t>
            </w:r>
            <w:r w:rsidR="00573486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 by the T</w:t>
            </w:r>
            <w:r w:rsidR="00573486">
              <w:rPr>
                <w:rFonts w:eastAsiaTheme="minorEastAsia"/>
              </w:rPr>
              <w:t>echnology and Economic Assessment Panel</w:t>
            </w:r>
            <w:r>
              <w:rPr>
                <w:rFonts w:eastAsiaTheme="minorEastAsia"/>
              </w:rPr>
              <w:t xml:space="preserve"> on its 2026 progress report: </w:t>
            </w:r>
            <w:r w:rsidR="00573486">
              <w:rPr>
                <w:rFonts w:eastAsiaTheme="minorEastAsia"/>
              </w:rPr>
              <w:t>a</w:t>
            </w:r>
            <w:r>
              <w:rPr>
                <w:rFonts w:eastAsiaTheme="minorEastAsia"/>
              </w:rPr>
              <w:t>ny</w:t>
            </w:r>
            <w:r w:rsidR="00A30A72">
              <w:rPr>
                <w:rFonts w:eastAsiaTheme="minorEastAsia"/>
              </w:rPr>
              <w:t> </w:t>
            </w:r>
            <w:r>
              <w:rPr>
                <w:rFonts w:eastAsiaTheme="minorEastAsia"/>
              </w:rPr>
              <w:t>other issues</w:t>
            </w:r>
            <w:bookmarkEnd w:id="8"/>
            <w:r w:rsidRPr="00E760BF">
              <w:rPr>
                <w:rFonts w:eastAsiaTheme="minorEastAsia"/>
              </w:rPr>
              <w:t xml:space="preserve">  </w:t>
            </w:r>
          </w:p>
        </w:tc>
        <w:tc>
          <w:tcPr>
            <w:tcW w:w="3969" w:type="dxa"/>
          </w:tcPr>
          <w:p w14:paraId="185F333C" w14:textId="77777777" w:rsidR="00E760BF" w:rsidRPr="00E760BF" w:rsidRDefault="00E760BF" w:rsidP="00E760BF">
            <w:pPr>
              <w:pStyle w:val="Normal-pool"/>
              <w:rPr>
                <w:rFonts w:eastAsiaTheme="minorEastAsia"/>
              </w:rPr>
            </w:pPr>
          </w:p>
        </w:tc>
      </w:tr>
    </w:tbl>
    <w:p w14:paraId="2E349B64" w14:textId="01877CDB" w:rsidR="00F202C5" w:rsidRPr="00B0050C" w:rsidRDefault="00F202C5" w:rsidP="00F202C5">
      <w:pPr>
        <w:pStyle w:val="BBTitle"/>
      </w:pPr>
      <w:r w:rsidRPr="00B0050C">
        <w:t xml:space="preserve">Draft decision </w:t>
      </w:r>
      <w:r>
        <w:t xml:space="preserve">on </w:t>
      </w:r>
      <w:r w:rsidR="00573486">
        <w:t>d</w:t>
      </w:r>
      <w:r w:rsidRPr="00B0050C">
        <w:t>estruction technologies for controlled s</w:t>
      </w:r>
      <w:r>
        <w:t>ubstances</w:t>
      </w:r>
    </w:p>
    <w:p w14:paraId="333A0D57" w14:textId="77777777" w:rsidR="00F202C5" w:rsidRPr="00BD1FCC" w:rsidRDefault="00F202C5" w:rsidP="00F202C5">
      <w:pPr>
        <w:pStyle w:val="CH2"/>
        <w:rPr>
          <w:lang w:val="en-US"/>
        </w:rPr>
      </w:pPr>
      <w:r w:rsidRPr="00B0050C">
        <w:rPr>
          <w:lang w:val="en-US"/>
        </w:rPr>
        <w:tab/>
      </w:r>
      <w:r w:rsidRPr="00B0050C">
        <w:rPr>
          <w:lang w:val="en-US"/>
        </w:rPr>
        <w:tab/>
      </w:r>
      <w:r w:rsidRPr="00E12BCE">
        <w:rPr>
          <w:lang w:val="en-US"/>
        </w:rPr>
        <w:t>Submission by</w:t>
      </w:r>
      <w:r>
        <w:rPr>
          <w:lang w:val="en-US"/>
        </w:rPr>
        <w:t xml:space="preserve"> Canada</w:t>
      </w:r>
    </w:p>
    <w:p w14:paraId="551E9D6B" w14:textId="77777777" w:rsidR="00F202C5" w:rsidRPr="004503E2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en-US"/>
        </w:rPr>
      </w:pPr>
      <w:r w:rsidRPr="004503E2">
        <w:rPr>
          <w:bCs/>
          <w:i/>
          <w:iCs/>
          <w:lang w:val="en-US"/>
        </w:rPr>
        <w:t>The Thirty-Eighth Meeting of the Parties,</w:t>
      </w:r>
    </w:p>
    <w:p w14:paraId="1289F168" w14:textId="150F5389" w:rsidR="00F202C5" w:rsidRPr="004503E2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4503E2">
        <w:rPr>
          <w:i/>
          <w:iCs/>
        </w:rPr>
        <w:t>Recalling t</w:t>
      </w:r>
      <w:r w:rsidRPr="004503E2">
        <w:t xml:space="preserve">hat in </w:t>
      </w:r>
      <w:r w:rsidR="00573486">
        <w:t>d</w:t>
      </w:r>
      <w:r w:rsidRPr="004503E2">
        <w:t xml:space="preserve">ecision IV/11 the Technology and Economic Assessment Panel is requested to evaluate emerging technology submissions and prepare recommendations for consideration by the </w:t>
      </w:r>
      <w:r w:rsidR="00573486" w:rsidRPr="00573486">
        <w:t>p</w:t>
      </w:r>
      <w:r w:rsidRPr="00573486">
        <w:t xml:space="preserve">arties to the Montreal Protocol </w:t>
      </w:r>
      <w:r w:rsidR="00573486" w:rsidRPr="00573486">
        <w:rPr>
          <w:rFonts w:eastAsiaTheme="minorEastAsia"/>
        </w:rPr>
        <w:t xml:space="preserve">on Substances that Deplete the Ozone Layer </w:t>
      </w:r>
      <w:r w:rsidRPr="00573486">
        <w:t>at their annual meeting</w:t>
      </w:r>
      <w:r w:rsidR="00573486" w:rsidRPr="00573486">
        <w:t>,</w:t>
      </w:r>
    </w:p>
    <w:p w14:paraId="50FEECF6" w14:textId="18DBC280" w:rsidR="00F202C5" w:rsidRPr="004503E2" w:rsidRDefault="003114EF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>
        <w:rPr>
          <w:i/>
          <w:iCs/>
        </w:rPr>
        <w:t>Taking n</w:t>
      </w:r>
      <w:r w:rsidR="00F202C5" w:rsidRPr="004503E2">
        <w:rPr>
          <w:i/>
          <w:iCs/>
        </w:rPr>
        <w:t>ot</w:t>
      </w:r>
      <w:r>
        <w:rPr>
          <w:i/>
          <w:iCs/>
        </w:rPr>
        <w:t>e</w:t>
      </w:r>
      <w:r w:rsidR="00F202C5" w:rsidRPr="004503E2">
        <w:rPr>
          <w:i/>
          <w:iCs/>
        </w:rPr>
        <w:t> </w:t>
      </w:r>
      <w:r w:rsidR="00F202C5" w:rsidRPr="00923B0A">
        <w:rPr>
          <w:i/>
          <w:iCs/>
        </w:rPr>
        <w:t>with appreciation</w:t>
      </w:r>
      <w:r w:rsidR="00F202C5" w:rsidRPr="004503E2">
        <w:t> </w:t>
      </w:r>
      <w:r>
        <w:t xml:space="preserve">of </w:t>
      </w:r>
      <w:r w:rsidR="00F202C5" w:rsidRPr="004503E2">
        <w:t>the 2026 progress report of the Technology and Economic Assessment Panel’s Medical and Chemicals Technical Options Committee</w:t>
      </w:r>
      <w:r>
        <w:t>, which</w:t>
      </w:r>
      <w:r w:rsidR="00F202C5" w:rsidRPr="004503E2">
        <w:t xml:space="preserve"> contains an evaluation of a destruction technology submitted by Canada</w:t>
      </w:r>
      <w:r w:rsidR="00573486">
        <w:t>,</w:t>
      </w:r>
    </w:p>
    <w:p w14:paraId="5ED56C76" w14:textId="088E1D47" w:rsidR="00F202C5" w:rsidRPr="004503E2" w:rsidRDefault="003114EF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</w:rPr>
      </w:pPr>
      <w:r w:rsidRPr="00923B0A">
        <w:rPr>
          <w:i/>
          <w:iCs/>
        </w:rPr>
        <w:t>Taking n</w:t>
      </w:r>
      <w:r w:rsidR="00F202C5" w:rsidRPr="00923B0A">
        <w:rPr>
          <w:i/>
          <w:iCs/>
        </w:rPr>
        <w:t>ot</w:t>
      </w:r>
      <w:r w:rsidRPr="00923B0A">
        <w:rPr>
          <w:i/>
          <w:iCs/>
        </w:rPr>
        <w:t>e</w:t>
      </w:r>
      <w:r w:rsidR="00F202C5" w:rsidRPr="00923B0A">
        <w:rPr>
          <w:i/>
          <w:iCs/>
        </w:rPr>
        <w:t xml:space="preserve"> with appreciation</w:t>
      </w:r>
      <w:r w:rsidRPr="00923B0A">
        <w:rPr>
          <w:i/>
          <w:iCs/>
        </w:rPr>
        <w:t xml:space="preserve"> also</w:t>
      </w:r>
      <w:r w:rsidR="00F202C5" w:rsidRPr="00923B0A">
        <w:t xml:space="preserve"> </w:t>
      </w:r>
      <w:r w:rsidRPr="00923B0A">
        <w:t xml:space="preserve">of </w:t>
      </w:r>
      <w:r w:rsidR="00F202C5" w:rsidRPr="00923B0A">
        <w:t xml:space="preserve">the Technology and Economic Assessment Panel’s evaluation of the destruction technology </w:t>
      </w:r>
      <w:proofErr w:type="gramStart"/>
      <w:r w:rsidR="00F202C5" w:rsidRPr="00923B0A">
        <w:t>with regard to</w:t>
      </w:r>
      <w:proofErr w:type="gramEnd"/>
      <w:r w:rsidR="00F202C5" w:rsidRPr="00923B0A">
        <w:t xml:space="preserve"> destruction and removal efficiency and </w:t>
      </w:r>
      <w:r w:rsidRPr="00923B0A">
        <w:t xml:space="preserve">of </w:t>
      </w:r>
      <w:r w:rsidR="00F202C5" w:rsidRPr="00923B0A">
        <w:t xml:space="preserve">its recommendation that the technology be added to the list of destruction technologies approved by the </w:t>
      </w:r>
      <w:r w:rsidR="00573486" w:rsidRPr="00923B0A">
        <w:t>p</w:t>
      </w:r>
      <w:r w:rsidR="00F202C5" w:rsidRPr="00923B0A">
        <w:t>arties</w:t>
      </w:r>
      <w:r w:rsidR="00573486" w:rsidRPr="00923B0A">
        <w:t>,</w:t>
      </w:r>
    </w:p>
    <w:p w14:paraId="3CAED591" w14:textId="77777777" w:rsidR="00F202C5" w:rsidRPr="004503E2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bCs/>
          <w:i/>
          <w:iCs/>
        </w:rPr>
      </w:pPr>
      <w:r w:rsidRPr="004503E2">
        <w:rPr>
          <w:bCs/>
          <w:i/>
          <w:iCs/>
        </w:rPr>
        <w:t>Decides:</w:t>
      </w:r>
    </w:p>
    <w:p w14:paraId="1A43E854" w14:textId="68889BB5" w:rsidR="00F202C5" w:rsidRPr="004503E2" w:rsidRDefault="00F202C5" w:rsidP="00F202C5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4503E2">
        <w:t xml:space="preserve">To approve the following destruction </w:t>
      </w:r>
      <w:r w:rsidRPr="004757A6">
        <w:t xml:space="preserve">technology, as reflected in </w:t>
      </w:r>
      <w:r w:rsidR="004757A6" w:rsidRPr="004757A6">
        <w:t xml:space="preserve">the </w:t>
      </w:r>
      <w:r w:rsidR="00573486" w:rsidRPr="004757A6">
        <w:t>a</w:t>
      </w:r>
      <w:r w:rsidRPr="004757A6">
        <w:t>nnex</w:t>
      </w:r>
      <w:r w:rsidRPr="00F76290">
        <w:t xml:space="preserve"> to the </w:t>
      </w:r>
      <w:r w:rsidR="004757A6" w:rsidRPr="00F76290">
        <w:t>present decision</w:t>
      </w:r>
      <w:r w:rsidRPr="004757A6">
        <w:t>, for the purposes of paragraph 5 of Article</w:t>
      </w:r>
      <w:r w:rsidRPr="004503E2">
        <w:t xml:space="preserve"> 1 of the Montreal Protocol, as </w:t>
      </w:r>
      <w:r w:rsidRPr="00923B0A">
        <w:t>an addition to the technologies listed in annex VI to the report</w:t>
      </w:r>
      <w:r w:rsidR="00DF36E6">
        <w:rPr>
          <w:rStyle w:val="FootnoteReference"/>
        </w:rPr>
        <w:footnoteReference w:id="2"/>
      </w:r>
      <w:r w:rsidRPr="00923B0A">
        <w:t xml:space="preserve"> of the Fourth Meeting of the Parties and modified by decisions V/26, VII/35, XIV/6, XXIX/4, XXX/6, and XXXV/5, for concentrated sources of Annex A</w:t>
      </w:r>
      <w:r w:rsidR="00923B0A" w:rsidRPr="00923B0A">
        <w:t>,</w:t>
      </w:r>
      <w:r w:rsidRPr="00923B0A">
        <w:t xml:space="preserve"> group 1, Annex C</w:t>
      </w:r>
      <w:r w:rsidR="00923B0A" w:rsidRPr="00923B0A">
        <w:t>,</w:t>
      </w:r>
      <w:r w:rsidRPr="00923B0A">
        <w:t xml:space="preserve"> group 1 and Annex F</w:t>
      </w:r>
      <w:r w:rsidR="00923B0A" w:rsidRPr="00923B0A">
        <w:t>,</w:t>
      </w:r>
      <w:r w:rsidRPr="00923B0A">
        <w:t xml:space="preserve"> group 1 controlled substances: steam plasma arc;</w:t>
      </w:r>
    </w:p>
    <w:p w14:paraId="3A34B163" w14:textId="5BCA6E81" w:rsidR="00F202C5" w:rsidRPr="004503E2" w:rsidRDefault="00F202C5" w:rsidP="00F202C5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sectPr w:rsidR="00F202C5" w:rsidRPr="004503E2" w:rsidSect="00E94AD5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4503E2">
        <w:rPr>
          <w:bCs/>
        </w:rPr>
        <w:t xml:space="preserve">To invite </w:t>
      </w:r>
      <w:r w:rsidR="00573486">
        <w:t>p</w:t>
      </w:r>
      <w:r w:rsidRPr="004503E2">
        <w:t>arties</w:t>
      </w:r>
      <w:r w:rsidRPr="004503E2">
        <w:rPr>
          <w:bCs/>
        </w:rPr>
        <w:t xml:space="preserve"> to continue to submit to the Ozone Secretariat information relevant to a review of destruction technologies.</w:t>
      </w:r>
    </w:p>
    <w:p w14:paraId="1285F8C3" w14:textId="361F1A5C" w:rsidR="00F202C5" w:rsidRPr="00416031" w:rsidRDefault="00F202C5" w:rsidP="00F202C5">
      <w:pPr>
        <w:pStyle w:val="ZZAnxheader"/>
      </w:pPr>
      <w:r w:rsidRPr="00416031">
        <w:lastRenderedPageBreak/>
        <w:t>Annex</w:t>
      </w:r>
    </w:p>
    <w:p w14:paraId="38A5037E" w14:textId="77777777" w:rsidR="00F202C5" w:rsidRDefault="00F202C5" w:rsidP="00F202C5">
      <w:pPr>
        <w:pStyle w:val="ZZAnxtitle"/>
      </w:pPr>
      <w:r w:rsidRPr="00416031">
        <w:t>D</w:t>
      </w:r>
      <w:r w:rsidRPr="00B0050C">
        <w:t>estruction technologies and their status of approval</w:t>
      </w:r>
    </w:p>
    <w:tbl>
      <w:tblPr>
        <w:tblW w:w="5000" w:type="pct"/>
        <w:jc w:val="right"/>
        <w:tblLook w:val="06A0" w:firstRow="1" w:lastRow="0" w:firstColumn="1" w:lastColumn="0" w:noHBand="1" w:noVBand="1"/>
      </w:tblPr>
      <w:tblGrid>
        <w:gridCol w:w="1669"/>
        <w:gridCol w:w="1144"/>
        <w:gridCol w:w="1144"/>
        <w:gridCol w:w="1168"/>
        <w:gridCol w:w="1366"/>
        <w:gridCol w:w="1216"/>
        <w:gridCol w:w="1168"/>
        <w:gridCol w:w="1168"/>
        <w:gridCol w:w="1168"/>
        <w:gridCol w:w="1168"/>
        <w:gridCol w:w="1025"/>
        <w:gridCol w:w="1025"/>
      </w:tblGrid>
      <w:tr w:rsidR="00C54FD3" w:rsidRPr="00374742" w14:paraId="134126F4" w14:textId="77777777" w:rsidTr="0084240B">
        <w:trPr>
          <w:trHeight w:val="302"/>
          <w:tblHeader/>
          <w:jc w:val="right"/>
        </w:trPr>
        <w:tc>
          <w:tcPr>
            <w:tcW w:w="1669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83CA86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Technology</w:t>
            </w:r>
          </w:p>
        </w:tc>
        <w:tc>
          <w:tcPr>
            <w:tcW w:w="12760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FD30AD" w14:textId="77777777" w:rsidR="00C54FD3" w:rsidRPr="007800A5" w:rsidRDefault="00C54FD3" w:rsidP="00C54FD3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Applicability</w:t>
            </w:r>
          </w:p>
        </w:tc>
      </w:tr>
      <w:tr w:rsidR="00C54FD3" w:rsidRPr="00374742" w14:paraId="53A218E5" w14:textId="77777777" w:rsidTr="0084240B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45802AC5" w14:textId="77777777" w:rsidR="00C54FD3" w:rsidRPr="00A35618" w:rsidRDefault="00C54FD3" w:rsidP="00B42F76">
            <w:pPr>
              <w:pStyle w:val="Normal-pool-Table"/>
              <w:rPr>
                <w:szCs w:val="18"/>
              </w:rPr>
            </w:pPr>
          </w:p>
        </w:tc>
        <w:tc>
          <w:tcPr>
            <w:tcW w:w="1071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F59005" w14:textId="77777777" w:rsidR="00C54FD3" w:rsidRPr="007800A5" w:rsidRDefault="00C54FD3" w:rsidP="007B6C6F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Concentrated Sources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A30275" w14:textId="77777777" w:rsidR="00C54FD3" w:rsidRPr="007800A5" w:rsidRDefault="00C54FD3" w:rsidP="00C54FD3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Dilute Sources</w:t>
            </w:r>
          </w:p>
        </w:tc>
      </w:tr>
      <w:tr w:rsidR="00C54FD3" w:rsidRPr="00374742" w14:paraId="3674AFCF" w14:textId="77777777" w:rsidTr="0084240B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0CA1F398" w14:textId="77777777" w:rsidR="00C54FD3" w:rsidRPr="00A35618" w:rsidRDefault="00C54FD3" w:rsidP="00B42F76">
            <w:pPr>
              <w:pStyle w:val="Normal-pool-Table"/>
              <w:rPr>
                <w:szCs w:val="18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0ABEFF" w14:textId="77777777" w:rsidR="00C54FD3" w:rsidRPr="007800A5" w:rsidRDefault="00C54FD3" w:rsidP="00C54FD3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Annex A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4E1FFF" w14:textId="77777777" w:rsidR="00C54FD3" w:rsidRPr="007800A5" w:rsidRDefault="00C54FD3" w:rsidP="00C54FD3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Annex B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2E2791" w14:textId="77777777" w:rsidR="00C54FD3" w:rsidRPr="007800A5" w:rsidRDefault="00C54FD3" w:rsidP="00C54FD3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Annex C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B0CCC7" w14:textId="77777777" w:rsidR="00C54FD3" w:rsidRPr="007800A5" w:rsidRDefault="00C54FD3" w:rsidP="00C54FD3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Annex E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ACDCBD" w14:textId="77777777" w:rsidR="00C54FD3" w:rsidRPr="007800A5" w:rsidRDefault="00C54FD3" w:rsidP="00C54FD3">
            <w:pPr>
              <w:pStyle w:val="Normal-pool-Table"/>
              <w:jc w:val="center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Annex F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9D0E9D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46493F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Annex F</w:t>
            </w:r>
          </w:p>
        </w:tc>
      </w:tr>
      <w:tr w:rsidR="00C54FD3" w:rsidRPr="00374742" w14:paraId="49B7A515" w14:textId="77777777" w:rsidTr="0084240B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35895B56" w14:textId="77777777" w:rsidR="00C54FD3" w:rsidRPr="00A35618" w:rsidRDefault="00C54FD3" w:rsidP="00B42F76">
            <w:pPr>
              <w:pStyle w:val="Normal-pool-Table"/>
              <w:rPr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81C27D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0F23DB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2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DF5882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5345CD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2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A98365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3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227CD5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1BAFA1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2DA502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1FF865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2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891D26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300835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Group 1</w:t>
            </w:r>
          </w:p>
        </w:tc>
      </w:tr>
      <w:tr w:rsidR="00C54FD3" w:rsidRPr="00374742" w14:paraId="420C97FF" w14:textId="77777777" w:rsidTr="0084240B">
        <w:trPr>
          <w:trHeight w:val="300"/>
          <w:tblHeader/>
          <w:jc w:val="right"/>
        </w:trPr>
        <w:tc>
          <w:tcPr>
            <w:tcW w:w="1669" w:type="dxa"/>
            <w:vMerge/>
            <w:tcBorders>
              <w:bottom w:val="single" w:sz="12" w:space="0" w:color="auto"/>
            </w:tcBorders>
            <w:vAlign w:val="bottom"/>
          </w:tcPr>
          <w:p w14:paraId="2544E994" w14:textId="77777777" w:rsidR="00C54FD3" w:rsidRPr="00A35618" w:rsidRDefault="00C54FD3" w:rsidP="00B42F76">
            <w:pPr>
              <w:pStyle w:val="Normal-pool-Table"/>
              <w:rPr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C18929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Primary CFCs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B7E527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Halons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DEDB4B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Other CFCs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8F82B7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Carbon Tetrachloride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96A8B4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Methyl Chloroform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D2F5E8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HCFCs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308A11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Methyl Bromide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2D7E46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HFCs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5223F0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HFC-23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39863B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ODS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DF4951" w14:textId="77777777" w:rsidR="00C54FD3" w:rsidRPr="007800A5" w:rsidRDefault="00C54FD3" w:rsidP="00B42F76">
            <w:pPr>
              <w:pStyle w:val="Normal-pool-Table"/>
              <w:rPr>
                <w:i/>
                <w:iCs/>
                <w:szCs w:val="18"/>
              </w:rPr>
            </w:pPr>
            <w:r w:rsidRPr="007800A5">
              <w:rPr>
                <w:i/>
                <w:iCs/>
                <w:szCs w:val="18"/>
              </w:rPr>
              <w:t>HFCs</w:t>
            </w:r>
          </w:p>
        </w:tc>
      </w:tr>
      <w:tr w:rsidR="00F202C5" w:rsidRPr="00374742" w14:paraId="23E2C56B" w14:textId="77777777" w:rsidTr="0084240B">
        <w:trPr>
          <w:trHeight w:val="300"/>
          <w:jc w:val="right"/>
        </w:trPr>
        <w:tc>
          <w:tcPr>
            <w:tcW w:w="1669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82FD6D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DRE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5E52FC8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0AFC1C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1AADD1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366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2F0B2B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704FDE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58C940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D18A57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590B1E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B05C58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99.99%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2776D6D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95%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51D661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95%</w:t>
            </w:r>
          </w:p>
        </w:tc>
      </w:tr>
      <w:tr w:rsidR="00F202C5" w:rsidRPr="00374742" w14:paraId="6F522D50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DBC68C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Cement Kilns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500C31A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EDA60B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ABDF08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3C22C9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4B3453E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183724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AC2D6F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FBDBA2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9ACCF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9B53FE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961284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4E740B67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3EA13EE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Gaseous/Fume Oxidation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AF668C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1F4E3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E09B58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6586ED4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44A0E8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81BC79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CC53D2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5C7013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E85855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3598B4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7D41555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21FDE4B6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E640C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Liquid Injection Incineration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4F6A9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1B8A5A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3B6E09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9D3B9A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A872F7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F34A73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200EC8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87E222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9F0ED5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ACECF4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AF3472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50B9E3F8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43BD46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Municipal Solid Waste Incineration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650A62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F01D54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45F820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F0BDE7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561931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B54540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D28BB1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E9DD7F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873EA1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1E749E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10AA71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</w:tr>
      <w:tr w:rsidR="00F202C5" w:rsidRPr="00374742" w14:paraId="56EC6F7C" w14:textId="77777777" w:rsidTr="0084240B">
        <w:trPr>
          <w:trHeight w:val="66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66B722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Porous Thermal Reactor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307A3A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71D205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36DB28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26766A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3D9B45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1E9274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93CFC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99756C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DE97E7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1A66BF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8887B3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0BBAA194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7DC05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Reactor Cracking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E4795D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B4CAF6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7F1C8C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1B0434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211AB1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ADEA42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A4D09A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877DAB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90EFEF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F582B1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478DCC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071F3E66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1D551B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Rotary Kiln Incineration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FAD37C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3423DC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F4A30F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6C44B2C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28AF6E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82EAC6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1988C8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454488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070087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5017C6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50E0D4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</w:tr>
      <w:tr w:rsidR="00F202C5" w:rsidRPr="00374742" w14:paraId="7E0B254E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A982F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Thermal Decay of Methyl Bromide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612AC4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568ED0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558E97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36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F01A3F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21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CFB3E6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D96A86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7C731D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0B8D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4FC38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700C1CED" w14:textId="77777777" w:rsidR="00F202C5" w:rsidRPr="004503E2" w:rsidRDefault="00F202C5" w:rsidP="00B42F76">
            <w:pPr>
              <w:pStyle w:val="Normal-pool-Table"/>
              <w:rPr>
                <w:color w:val="FF0000"/>
                <w:szCs w:val="18"/>
              </w:rPr>
            </w:pPr>
            <w:r w:rsidRPr="004503E2">
              <w:rPr>
                <w:color w:val="FF0000"/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BBEB3F9" w14:textId="77777777" w:rsidR="00F202C5" w:rsidRPr="004503E2" w:rsidRDefault="00F202C5" w:rsidP="00B42F76">
            <w:pPr>
              <w:pStyle w:val="Normal-pool-Table"/>
              <w:rPr>
                <w:color w:val="FF0000"/>
                <w:szCs w:val="18"/>
              </w:rPr>
            </w:pPr>
            <w:r w:rsidRPr="004503E2">
              <w:rPr>
                <w:color w:val="FF0000"/>
                <w:szCs w:val="18"/>
              </w:rPr>
              <w:t xml:space="preserve"> </w:t>
            </w:r>
          </w:p>
        </w:tc>
      </w:tr>
      <w:tr w:rsidR="00F202C5" w:rsidRPr="00374742" w14:paraId="48A08344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CA316F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Argon Plasma Arc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7B52F3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E0316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FD35A7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A4337B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5FBE2EB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E121EC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832C5E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EDE149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8C7D19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4C19D8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2C4F2B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6B2957C9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0D89C4C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Steam Plasma Arc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F0EC39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A30DAA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B500D1E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Not Determined</w:t>
            </w:r>
          </w:p>
        </w:tc>
        <w:tc>
          <w:tcPr>
            <w:tcW w:w="136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143A58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Not Determined</w:t>
            </w:r>
          </w:p>
        </w:tc>
        <w:tc>
          <w:tcPr>
            <w:tcW w:w="121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80F4B51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DC913F5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60F53F4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5148916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BFBD8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55941B3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C3A144B" w14:textId="77777777" w:rsidR="00F202C5" w:rsidRPr="004503E2" w:rsidRDefault="00F202C5" w:rsidP="00B42F76">
            <w:pPr>
              <w:pStyle w:val="Normal-pool-Table"/>
              <w:rPr>
                <w:szCs w:val="18"/>
                <w:highlight w:val="yellow"/>
              </w:rPr>
            </w:pPr>
            <w:r w:rsidRPr="004503E2">
              <w:rPr>
                <w:szCs w:val="18"/>
                <w:highlight w:val="yellow"/>
              </w:rPr>
              <w:t xml:space="preserve"> </w:t>
            </w:r>
          </w:p>
        </w:tc>
      </w:tr>
      <w:tr w:rsidR="00F202C5" w:rsidRPr="00374742" w14:paraId="34E259B4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19B25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Inductively coupled radio frequency plasma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0DC1C1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72F29D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765555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58850A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598A494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9299D8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8E20F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394399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71373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A60BE2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C6CCC3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34A2083F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A98296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Microwave Plasma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A7A2F0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6B507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BFA1FF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75AA59C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342B63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154C86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99C7C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91F06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BFF0A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580766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C4B6D0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74364BF2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2331E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lastRenderedPageBreak/>
              <w:t>Nitrogen Plasma Arc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3E3CA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AA261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C85170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38D04D7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A39A33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037DAB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CE4E8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AA6BB9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978CEA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A9CBB4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9CA629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17CDFC08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20C691D" w14:textId="77777777" w:rsidR="00F202C5" w:rsidRPr="004503E2" w:rsidRDefault="00F202C5" w:rsidP="00B42F76">
            <w:pPr>
              <w:pStyle w:val="Normal-pool-Table"/>
              <w:rPr>
                <w:szCs w:val="18"/>
                <w:vertAlign w:val="subscript"/>
              </w:rPr>
            </w:pPr>
            <w:r w:rsidRPr="004503E2">
              <w:rPr>
                <w:szCs w:val="18"/>
              </w:rPr>
              <w:t>Chemical Reaction with H</w:t>
            </w:r>
            <w:r w:rsidRPr="004503E2">
              <w:rPr>
                <w:szCs w:val="18"/>
                <w:vertAlign w:val="subscript"/>
              </w:rPr>
              <w:t>2</w:t>
            </w:r>
            <w:r w:rsidRPr="004503E2">
              <w:rPr>
                <w:szCs w:val="18"/>
              </w:rPr>
              <w:t xml:space="preserve"> and CO</w:t>
            </w:r>
            <w:r w:rsidRPr="004503E2">
              <w:rPr>
                <w:szCs w:val="18"/>
                <w:vertAlign w:val="subscript"/>
              </w:rPr>
              <w:t>2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1129747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E651D5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82484D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7C087F3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D058F1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9502A7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7A1CD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EB0C5A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E9CAE2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BD1F75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10BABE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11094C7B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4A8D35" w14:textId="77777777" w:rsidR="00F202C5" w:rsidRPr="004503E2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503E2">
              <w:rPr>
                <w:szCs w:val="18"/>
                <w:lang w:val="fr-FR"/>
              </w:rPr>
              <w:t xml:space="preserve">Gas Phase </w:t>
            </w:r>
            <w:proofErr w:type="spellStart"/>
            <w:r w:rsidRPr="004503E2">
              <w:rPr>
                <w:szCs w:val="18"/>
                <w:lang w:val="fr-FR"/>
              </w:rPr>
              <w:t>Catalytic</w:t>
            </w:r>
            <w:proofErr w:type="spellEnd"/>
            <w:r w:rsidRPr="004503E2">
              <w:rPr>
                <w:szCs w:val="18"/>
                <w:lang w:val="fr-FR"/>
              </w:rPr>
              <w:t xml:space="preserve"> De-</w:t>
            </w:r>
            <w:proofErr w:type="spellStart"/>
            <w:r w:rsidRPr="004503E2">
              <w:rPr>
                <w:szCs w:val="18"/>
                <w:lang w:val="fr-FR"/>
              </w:rPr>
              <w:t>halogenation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B17FCF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50CAA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07C301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74E4CF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71EB21F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4835EE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EDC406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29F4E4B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48B406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D3383B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C52015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5ED7AFC3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C7CC2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Superheated steam reactor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7F0846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113799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32D905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16065F2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D7DFC7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54B472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3F4BE6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F38D06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19FE399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DEB38E1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3F1D07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584BC081" w14:textId="77777777" w:rsidTr="0084240B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37EA4B5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Thermal Reaction with Methane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C81779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DD4B7E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4A0555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5F7A3F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859B950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526D43A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DA8AEA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B421B8E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228086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4D72DF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E0B085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  <w:tr w:rsidR="00F202C5" w:rsidRPr="00374742" w14:paraId="62B67131" w14:textId="77777777" w:rsidTr="0084240B">
        <w:trPr>
          <w:trHeight w:val="765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D24F8F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Thermal decay of methyl bromide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3E700F58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6C09874C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AE2D5"/>
            <w:tcMar>
              <w:left w:w="108" w:type="dxa"/>
              <w:right w:w="108" w:type="dxa"/>
            </w:tcMar>
          </w:tcPr>
          <w:p w14:paraId="449850C4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366" w:type="dxa"/>
            <w:shd w:val="clear" w:color="auto" w:fill="FAE2D5"/>
            <w:tcMar>
              <w:left w:w="108" w:type="dxa"/>
              <w:right w:w="108" w:type="dxa"/>
            </w:tcMar>
          </w:tcPr>
          <w:p w14:paraId="225F473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216" w:type="dxa"/>
            <w:shd w:val="clear" w:color="auto" w:fill="FAE2D5"/>
            <w:tcMar>
              <w:left w:w="108" w:type="dxa"/>
              <w:right w:w="108" w:type="dxa"/>
            </w:tcMar>
          </w:tcPr>
          <w:p w14:paraId="3C3CFFC6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AE2D5"/>
            <w:tcMar>
              <w:left w:w="108" w:type="dxa"/>
              <w:right w:w="108" w:type="dxa"/>
            </w:tcMar>
          </w:tcPr>
          <w:p w14:paraId="0B2D182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C03BBF2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Approved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64E2CD3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01A626F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>Not Determined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F3F169D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2535A27" w14:textId="77777777" w:rsidR="00F202C5" w:rsidRPr="004503E2" w:rsidRDefault="00F202C5" w:rsidP="00B42F76">
            <w:pPr>
              <w:pStyle w:val="Normal-pool-Table"/>
              <w:rPr>
                <w:szCs w:val="18"/>
              </w:rPr>
            </w:pPr>
            <w:r w:rsidRPr="004503E2">
              <w:rPr>
                <w:szCs w:val="18"/>
              </w:rPr>
              <w:t xml:space="preserve"> </w:t>
            </w:r>
          </w:p>
        </w:tc>
      </w:tr>
    </w:tbl>
    <w:p w14:paraId="0C215BA4" w14:textId="77777777" w:rsidR="00F202C5" w:rsidRPr="00B0050C" w:rsidRDefault="00F202C5" w:rsidP="00F202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886"/>
        <w:gridCol w:w="2886"/>
        <w:gridCol w:w="2886"/>
        <w:gridCol w:w="2886"/>
      </w:tblGrid>
      <w:tr w:rsidR="00F202C5" w14:paraId="2989E21D" w14:textId="77777777" w:rsidTr="00B42F76">
        <w:tc>
          <w:tcPr>
            <w:tcW w:w="2900" w:type="dxa"/>
          </w:tcPr>
          <w:p w14:paraId="76C55933" w14:textId="77777777" w:rsidR="00F202C5" w:rsidRDefault="00F202C5" w:rsidP="00B42F76">
            <w:pPr>
              <w:pStyle w:val="Normal-pool"/>
              <w:spacing w:before="520"/>
            </w:pPr>
          </w:p>
        </w:tc>
        <w:tc>
          <w:tcPr>
            <w:tcW w:w="2901" w:type="dxa"/>
          </w:tcPr>
          <w:p w14:paraId="0BFBE354" w14:textId="77777777" w:rsidR="00F202C5" w:rsidRDefault="00F202C5" w:rsidP="00B42F76">
            <w:pPr>
              <w:pStyle w:val="Normal-pool"/>
              <w:spacing w:before="520"/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594CD346" w14:textId="77777777" w:rsidR="00F202C5" w:rsidRDefault="00F202C5" w:rsidP="00B42F76">
            <w:pPr>
              <w:pStyle w:val="Normal-pool"/>
              <w:spacing w:before="520"/>
            </w:pPr>
          </w:p>
        </w:tc>
        <w:tc>
          <w:tcPr>
            <w:tcW w:w="2901" w:type="dxa"/>
          </w:tcPr>
          <w:p w14:paraId="73520263" w14:textId="77777777" w:rsidR="00F202C5" w:rsidRDefault="00F202C5" w:rsidP="00B42F76">
            <w:pPr>
              <w:pStyle w:val="Normal-pool"/>
              <w:spacing w:before="520"/>
            </w:pPr>
          </w:p>
        </w:tc>
        <w:tc>
          <w:tcPr>
            <w:tcW w:w="2901" w:type="dxa"/>
          </w:tcPr>
          <w:p w14:paraId="2C3287A0" w14:textId="77777777" w:rsidR="00F202C5" w:rsidRDefault="00F202C5" w:rsidP="00B42F76">
            <w:pPr>
              <w:pStyle w:val="Normal-pool"/>
              <w:spacing w:before="520"/>
            </w:pPr>
          </w:p>
        </w:tc>
      </w:tr>
    </w:tbl>
    <w:p w14:paraId="25E54BB6" w14:textId="4171ACDA" w:rsidR="00E760BF" w:rsidRPr="00E760BF" w:rsidRDefault="00E760BF" w:rsidP="00E760BF">
      <w:pPr>
        <w:pStyle w:val="Normal-pool"/>
        <w:rPr>
          <w:rFonts w:eastAsiaTheme="minorEastAsia"/>
        </w:rPr>
      </w:pPr>
    </w:p>
    <w:sectPr w:rsidR="00E760BF" w:rsidRPr="00E760BF" w:rsidSect="00E94AD5">
      <w:headerReference w:type="first" r:id="rId16"/>
      <w:footerReference w:type="first" r:id="rId17"/>
      <w:pgSz w:w="16839" w:h="11907" w:orient="landscape" w:code="9"/>
      <w:pgMar w:top="907" w:right="992" w:bottom="1418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0075" w14:textId="77777777" w:rsidR="005935FF" w:rsidRPr="00E760BF" w:rsidRDefault="005935FF">
      <w:r w:rsidRPr="00E760BF">
        <w:separator/>
      </w:r>
    </w:p>
  </w:endnote>
  <w:endnote w:type="continuationSeparator" w:id="0">
    <w:p w14:paraId="7A4BD296" w14:textId="77777777" w:rsidR="005935FF" w:rsidRPr="00E760BF" w:rsidRDefault="005935FF">
      <w:r w:rsidRPr="00E760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1EB4" w14:textId="0306116B" w:rsidR="00F202C5" w:rsidRPr="00E94AD5" w:rsidRDefault="00E94AD5" w:rsidP="00E94AD5">
    <w:pPr>
      <w:pStyle w:val="Footer-pool"/>
      <w:rPr>
        <w:b w:val="0"/>
        <w:bCs/>
      </w:rPr>
    </w:pPr>
    <w:r w:rsidRPr="00E94AD5">
      <w:rPr>
        <w:rStyle w:val="PageNumber"/>
        <w:b/>
        <w:bCs/>
      </w:rPr>
      <w:fldChar w:fldCharType="begin"/>
    </w:r>
    <w:r w:rsidRPr="00E94AD5">
      <w:rPr>
        <w:rStyle w:val="PageNumber"/>
        <w:b/>
        <w:bCs/>
      </w:rPr>
      <w:instrText xml:space="preserve"> PAGE </w:instrText>
    </w:r>
    <w:r w:rsidRPr="00E94AD5">
      <w:rPr>
        <w:rStyle w:val="PageNumber"/>
        <w:b/>
        <w:bCs/>
      </w:rPr>
      <w:fldChar w:fldCharType="separate"/>
    </w:r>
    <w:r w:rsidRPr="00E94AD5">
      <w:rPr>
        <w:rStyle w:val="PageNumber"/>
        <w:b/>
        <w:bCs/>
        <w:noProof/>
      </w:rPr>
      <w:t>2</w:t>
    </w:r>
    <w:r w:rsidRPr="00E94AD5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9CAC" w14:textId="1A414ECA" w:rsidR="00F202C5" w:rsidRPr="00E94AD5" w:rsidRDefault="00E94AD5" w:rsidP="00E94AD5">
    <w:pPr>
      <w:pStyle w:val="Footer-pool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3260" w14:textId="7CD04F5A" w:rsidR="00F202C5" w:rsidRPr="00E94AD5" w:rsidRDefault="007A4814" w:rsidP="00E94AD5">
    <w:pPr>
      <w:pStyle w:val="Footer-jobnumber"/>
    </w:pPr>
    <w:bookmarkStart w:id="9" w:name="FooterJobDate"/>
    <w:r>
      <w:t>K2610383[E]</w:t>
    </w:r>
    <w:r w:rsidR="00416031">
      <w:tab/>
      <w:t>14</w:t>
    </w:r>
    <w:r>
      <w:t>0726</w:t>
    </w:r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5D20" w14:textId="2CB4FFCB" w:rsidR="00E760BF" w:rsidRPr="00E94AD5" w:rsidRDefault="00E760BF" w:rsidP="00E9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F796" w14:textId="77777777" w:rsidR="005935FF" w:rsidRPr="00E760BF" w:rsidRDefault="005935FF" w:rsidP="00C70B49">
      <w:pPr>
        <w:pStyle w:val="Footnote-Separator"/>
        <w:rPr>
          <w:szCs w:val="18"/>
        </w:rPr>
      </w:pPr>
      <w:r w:rsidRPr="00E760BF">
        <w:separator/>
      </w:r>
    </w:p>
  </w:footnote>
  <w:footnote w:type="continuationSeparator" w:id="0">
    <w:p w14:paraId="24CA019C" w14:textId="77777777" w:rsidR="005935FF" w:rsidRPr="00E760BF" w:rsidRDefault="005935FF" w:rsidP="00C70B49">
      <w:pPr>
        <w:pStyle w:val="Footnote-Separator"/>
      </w:pPr>
      <w:r w:rsidRPr="00E760BF">
        <w:continuationSeparator/>
      </w:r>
    </w:p>
  </w:footnote>
  <w:footnote w:type="continuationNotice" w:id="1">
    <w:p w14:paraId="191B5259" w14:textId="77777777" w:rsidR="005935FF" w:rsidRPr="00E760BF" w:rsidRDefault="005935FF" w:rsidP="00C70B49">
      <w:pPr>
        <w:pStyle w:val="ASpacer"/>
      </w:pPr>
    </w:p>
  </w:footnote>
  <w:footnote w:id="2">
    <w:p w14:paraId="23FB767F" w14:textId="4BAFA7BF" w:rsidR="00DF36E6" w:rsidRPr="00363764" w:rsidRDefault="00DF36E6" w:rsidP="00363764">
      <w:pPr>
        <w:pStyle w:val="Footnote-Text"/>
        <w:rPr>
          <w:szCs w:val="18"/>
          <w:lang w:val="en-US"/>
        </w:rPr>
      </w:pPr>
      <w:r w:rsidRPr="00363764">
        <w:rPr>
          <w:rStyle w:val="FootnoteReference"/>
        </w:rPr>
        <w:footnoteRef/>
      </w:r>
      <w:r w:rsidRPr="00363764">
        <w:t xml:space="preserve"> </w:t>
      </w:r>
      <w:r w:rsidR="00420163" w:rsidRPr="00363764">
        <w:t>UNEP/OzL.Pro.4/15.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B6F1" w14:textId="54C87603" w:rsidR="00F202C5" w:rsidRPr="00E94AD5" w:rsidRDefault="00E94AD5" w:rsidP="00E94AD5">
    <w:pPr>
      <w:pStyle w:val="Header-pool"/>
    </w:pPr>
    <w:r>
      <w:rPr>
        <w:noProof/>
      </w:rPr>
      <w:fldChar w:fldCharType="begin"/>
    </w:r>
    <w:r>
      <w:rPr>
        <w:noProof/>
      </w:rPr>
      <w:instrText xml:space="preserve"> StyleRef A_Symbol </w:instrText>
    </w:r>
    <w:r>
      <w:rPr>
        <w:noProof/>
      </w:rPr>
      <w:fldChar w:fldCharType="separate"/>
    </w:r>
    <w:r w:rsidR="0084240B">
      <w:rPr>
        <w:noProof/>
      </w:rPr>
      <w:t>UNEP/OzL.Pro.WG.1/48/CRP.5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D112" w14:textId="01357672" w:rsidR="00F202C5" w:rsidRPr="00E94AD5" w:rsidRDefault="00E94AD5" w:rsidP="00E94AD5">
    <w:pPr>
      <w:pStyle w:val="Header-pool"/>
      <w:jc w:val="right"/>
    </w:pPr>
    <w:r>
      <w:rPr>
        <w:noProof/>
      </w:rPr>
      <w:fldChar w:fldCharType="begin"/>
    </w:r>
    <w:r>
      <w:rPr>
        <w:noProof/>
      </w:rPr>
      <w:instrText xml:space="preserve"> StyleRef A_Symbol </w:instrText>
    </w:r>
    <w:r>
      <w:rPr>
        <w:noProof/>
      </w:rPr>
      <w:fldChar w:fldCharType="separate"/>
    </w:r>
    <w:r w:rsidR="0084240B">
      <w:rPr>
        <w:noProof/>
      </w:rPr>
      <w:t>UNEP/OzL.Pro.WG.1/48/CRP.5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25E" w14:textId="77777777" w:rsidR="00E760BF" w:rsidRPr="00E760BF" w:rsidRDefault="00E760BF" w:rsidP="00E760BF">
    <w:pPr>
      <w:pStyle w:val="Normal-po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25A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1886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4B9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C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E44A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84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2A11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E86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C11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6C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C5773"/>
    <w:multiLevelType w:val="hybridMultilevel"/>
    <w:tmpl w:val="1E18F66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778714746">
    <w:abstractNumId w:val="9"/>
  </w:num>
  <w:num w:numId="7" w16cid:durableId="1550728647">
    <w:abstractNumId w:val="7"/>
  </w:num>
  <w:num w:numId="8" w16cid:durableId="1038512054">
    <w:abstractNumId w:val="6"/>
  </w:num>
  <w:num w:numId="9" w16cid:durableId="1272012683">
    <w:abstractNumId w:val="5"/>
  </w:num>
  <w:num w:numId="10" w16cid:durableId="1517885021">
    <w:abstractNumId w:val="4"/>
  </w:num>
  <w:num w:numId="11" w16cid:durableId="349527012">
    <w:abstractNumId w:val="8"/>
  </w:num>
  <w:num w:numId="12" w16cid:durableId="1565138279">
    <w:abstractNumId w:val="3"/>
  </w:num>
  <w:num w:numId="13" w16cid:durableId="344330355">
    <w:abstractNumId w:val="2"/>
  </w:num>
  <w:num w:numId="14" w16cid:durableId="1430736214">
    <w:abstractNumId w:val="1"/>
  </w:num>
  <w:num w:numId="15" w16cid:durableId="53092912">
    <w:abstractNumId w:val="0"/>
  </w:num>
  <w:num w:numId="16" w16cid:durableId="21085041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BF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17280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0EDC"/>
    <w:rsid w:val="0022762D"/>
    <w:rsid w:val="00232303"/>
    <w:rsid w:val="00234806"/>
    <w:rsid w:val="002378D6"/>
    <w:rsid w:val="00243D36"/>
    <w:rsid w:val="00247707"/>
    <w:rsid w:val="002609C8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2E9"/>
    <w:rsid w:val="002F5C79"/>
    <w:rsid w:val="003019E2"/>
    <w:rsid w:val="003114EF"/>
    <w:rsid w:val="0031413F"/>
    <w:rsid w:val="003148BB"/>
    <w:rsid w:val="00317976"/>
    <w:rsid w:val="00323885"/>
    <w:rsid w:val="00331475"/>
    <w:rsid w:val="00351A93"/>
    <w:rsid w:val="00355EA9"/>
    <w:rsid w:val="003578DE"/>
    <w:rsid w:val="00363764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F0E85"/>
    <w:rsid w:val="003F4CBF"/>
    <w:rsid w:val="00404CB5"/>
    <w:rsid w:val="00405251"/>
    <w:rsid w:val="00410C55"/>
    <w:rsid w:val="00416031"/>
    <w:rsid w:val="0041604D"/>
    <w:rsid w:val="00416854"/>
    <w:rsid w:val="00417725"/>
    <w:rsid w:val="0041779A"/>
    <w:rsid w:val="00417B99"/>
    <w:rsid w:val="00420163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57A6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0E94"/>
    <w:rsid w:val="004F1A81"/>
    <w:rsid w:val="004F7658"/>
    <w:rsid w:val="005218D9"/>
    <w:rsid w:val="00532E47"/>
    <w:rsid w:val="00536186"/>
    <w:rsid w:val="00536826"/>
    <w:rsid w:val="0054059E"/>
    <w:rsid w:val="00544CBB"/>
    <w:rsid w:val="00550518"/>
    <w:rsid w:val="00552CD6"/>
    <w:rsid w:val="005670DD"/>
    <w:rsid w:val="0057315F"/>
    <w:rsid w:val="00573486"/>
    <w:rsid w:val="00575DF1"/>
    <w:rsid w:val="00576104"/>
    <w:rsid w:val="00591618"/>
    <w:rsid w:val="00591ABF"/>
    <w:rsid w:val="005935FF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0B08"/>
    <w:rsid w:val="00651BFA"/>
    <w:rsid w:val="006533B3"/>
    <w:rsid w:val="00663A80"/>
    <w:rsid w:val="00665A4B"/>
    <w:rsid w:val="006731FE"/>
    <w:rsid w:val="00692E2A"/>
    <w:rsid w:val="006A76F2"/>
    <w:rsid w:val="006C3DDA"/>
    <w:rsid w:val="006D2A58"/>
    <w:rsid w:val="006D3277"/>
    <w:rsid w:val="006D7EFB"/>
    <w:rsid w:val="006E6672"/>
    <w:rsid w:val="006E6722"/>
    <w:rsid w:val="006F10F1"/>
    <w:rsid w:val="007027B9"/>
    <w:rsid w:val="00713D8F"/>
    <w:rsid w:val="00715E88"/>
    <w:rsid w:val="0072508B"/>
    <w:rsid w:val="00732257"/>
    <w:rsid w:val="00734CAA"/>
    <w:rsid w:val="00736583"/>
    <w:rsid w:val="00743CAA"/>
    <w:rsid w:val="0075473A"/>
    <w:rsid w:val="00755106"/>
    <w:rsid w:val="0075533C"/>
    <w:rsid w:val="00757581"/>
    <w:rsid w:val="007611A0"/>
    <w:rsid w:val="007658A0"/>
    <w:rsid w:val="00771992"/>
    <w:rsid w:val="007800A5"/>
    <w:rsid w:val="00783907"/>
    <w:rsid w:val="00796D3F"/>
    <w:rsid w:val="007A1683"/>
    <w:rsid w:val="007A36F8"/>
    <w:rsid w:val="007A4814"/>
    <w:rsid w:val="007A52BC"/>
    <w:rsid w:val="007A5C12"/>
    <w:rsid w:val="007A7CB0"/>
    <w:rsid w:val="007B68A3"/>
    <w:rsid w:val="007B6C6F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240B"/>
    <w:rsid w:val="00843576"/>
    <w:rsid w:val="00843B64"/>
    <w:rsid w:val="008470BD"/>
    <w:rsid w:val="008478FC"/>
    <w:rsid w:val="00862AD7"/>
    <w:rsid w:val="00867BFF"/>
    <w:rsid w:val="008708AB"/>
    <w:rsid w:val="008839C8"/>
    <w:rsid w:val="0088480A"/>
    <w:rsid w:val="0088623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FCB"/>
    <w:rsid w:val="00907D78"/>
    <w:rsid w:val="0092178C"/>
    <w:rsid w:val="00923B0A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7621"/>
    <w:rsid w:val="00967E6A"/>
    <w:rsid w:val="00980797"/>
    <w:rsid w:val="009840B6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9F04DA"/>
    <w:rsid w:val="00A03A4A"/>
    <w:rsid w:val="00A07870"/>
    <w:rsid w:val="00A07F19"/>
    <w:rsid w:val="00A1348D"/>
    <w:rsid w:val="00A142D1"/>
    <w:rsid w:val="00A1489E"/>
    <w:rsid w:val="00A232EE"/>
    <w:rsid w:val="00A30A72"/>
    <w:rsid w:val="00A35618"/>
    <w:rsid w:val="00A4175F"/>
    <w:rsid w:val="00A44411"/>
    <w:rsid w:val="00A469FA"/>
    <w:rsid w:val="00A50E94"/>
    <w:rsid w:val="00A52B0F"/>
    <w:rsid w:val="00A55B01"/>
    <w:rsid w:val="00A56B5B"/>
    <w:rsid w:val="00A603FF"/>
    <w:rsid w:val="00A6107C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7589"/>
    <w:rsid w:val="00B37EF9"/>
    <w:rsid w:val="00B405B7"/>
    <w:rsid w:val="00B45E6D"/>
    <w:rsid w:val="00B4774C"/>
    <w:rsid w:val="00B52222"/>
    <w:rsid w:val="00B523A2"/>
    <w:rsid w:val="00B54FE7"/>
    <w:rsid w:val="00B57C47"/>
    <w:rsid w:val="00B638E7"/>
    <w:rsid w:val="00B66901"/>
    <w:rsid w:val="00B71E6D"/>
    <w:rsid w:val="00B72070"/>
    <w:rsid w:val="00B779E1"/>
    <w:rsid w:val="00B859A3"/>
    <w:rsid w:val="00B91EE1"/>
    <w:rsid w:val="00BA0090"/>
    <w:rsid w:val="00BA1A67"/>
    <w:rsid w:val="00BA7826"/>
    <w:rsid w:val="00BB49DE"/>
    <w:rsid w:val="00BC07FE"/>
    <w:rsid w:val="00BD0163"/>
    <w:rsid w:val="00BD159E"/>
    <w:rsid w:val="00BE5B5F"/>
    <w:rsid w:val="00C0101F"/>
    <w:rsid w:val="00C26F55"/>
    <w:rsid w:val="00C30C63"/>
    <w:rsid w:val="00C32B37"/>
    <w:rsid w:val="00C36B8B"/>
    <w:rsid w:val="00C47DBF"/>
    <w:rsid w:val="00C53666"/>
    <w:rsid w:val="00C54FD3"/>
    <w:rsid w:val="00C552FF"/>
    <w:rsid w:val="00C558DA"/>
    <w:rsid w:val="00C55AF3"/>
    <w:rsid w:val="00C60713"/>
    <w:rsid w:val="00C70B49"/>
    <w:rsid w:val="00C75C7C"/>
    <w:rsid w:val="00C80458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10B"/>
    <w:rsid w:val="00CF141F"/>
    <w:rsid w:val="00CF4777"/>
    <w:rsid w:val="00CF5AF8"/>
    <w:rsid w:val="00D067BB"/>
    <w:rsid w:val="00D070CC"/>
    <w:rsid w:val="00D10C4B"/>
    <w:rsid w:val="00D1352A"/>
    <w:rsid w:val="00D13EDE"/>
    <w:rsid w:val="00D169AF"/>
    <w:rsid w:val="00D25249"/>
    <w:rsid w:val="00D255A7"/>
    <w:rsid w:val="00D403C5"/>
    <w:rsid w:val="00D44172"/>
    <w:rsid w:val="00D526D8"/>
    <w:rsid w:val="00D53C40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3554"/>
    <w:rsid w:val="00DC46FF"/>
    <w:rsid w:val="00DC5254"/>
    <w:rsid w:val="00DD1A4F"/>
    <w:rsid w:val="00DD3107"/>
    <w:rsid w:val="00DD5EFF"/>
    <w:rsid w:val="00DD7C2C"/>
    <w:rsid w:val="00DE6E55"/>
    <w:rsid w:val="00DF36E6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5673C"/>
    <w:rsid w:val="00E600D6"/>
    <w:rsid w:val="00E63C75"/>
    <w:rsid w:val="00E65388"/>
    <w:rsid w:val="00E67833"/>
    <w:rsid w:val="00E74ACB"/>
    <w:rsid w:val="00E760BF"/>
    <w:rsid w:val="00E85B7D"/>
    <w:rsid w:val="00E9121B"/>
    <w:rsid w:val="00E94AD5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EF5AB5"/>
    <w:rsid w:val="00F03B69"/>
    <w:rsid w:val="00F07A50"/>
    <w:rsid w:val="00F113DA"/>
    <w:rsid w:val="00F202C5"/>
    <w:rsid w:val="00F23184"/>
    <w:rsid w:val="00F25F15"/>
    <w:rsid w:val="00F319FC"/>
    <w:rsid w:val="00F37DC8"/>
    <w:rsid w:val="00F439B3"/>
    <w:rsid w:val="00F43ABE"/>
    <w:rsid w:val="00F45AA8"/>
    <w:rsid w:val="00F502DD"/>
    <w:rsid w:val="00F511D5"/>
    <w:rsid w:val="00F52A1B"/>
    <w:rsid w:val="00F614FA"/>
    <w:rsid w:val="00F638FC"/>
    <w:rsid w:val="00F650C3"/>
    <w:rsid w:val="00F65D85"/>
    <w:rsid w:val="00F7203C"/>
    <w:rsid w:val="00F75453"/>
    <w:rsid w:val="00F76290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E002E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12F8F"/>
  <w15:chartTrackingRefBased/>
  <w15:docId w15:val="{CACB9590-429E-42C3-A6E7-5160C166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E760B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E760BF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E760BF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E760BF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E760BF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E760BF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E760BF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E760BF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E760BF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E760BF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E760BF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E760BF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E760B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E760B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760B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760B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E760BF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E760BF"/>
    <w:pPr>
      <w:ind w:left="1814" w:hanging="567"/>
    </w:pPr>
  </w:style>
  <w:style w:type="paragraph" w:customStyle="1" w:styleId="CH1">
    <w:name w:val="CH1"/>
    <w:basedOn w:val="Normal-pool"/>
    <w:next w:val="CH2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E760BF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E760BF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E760BF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E760BF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E760BF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E760BF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E760BF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E760BF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E760BF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E760B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E760BF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E760BF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E760BF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E760BF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E760B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E760BF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E760B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760BF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E760BF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E760BF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E760BF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E760BF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E760BF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E760B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E760B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E760BF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E760BF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E760BF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E760BF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E760BF"/>
    <w:pPr>
      <w:spacing w:before="120"/>
    </w:pPr>
  </w:style>
  <w:style w:type="paragraph" w:customStyle="1" w:styleId="ATwoLetters">
    <w:name w:val="A_TwoLetters"/>
    <w:basedOn w:val="Normal-pool"/>
    <w:next w:val="Normal-pool"/>
    <w:rsid w:val="00E760BF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E760BF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E76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BF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E760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E760BF"/>
  </w:style>
  <w:style w:type="character" w:customStyle="1" w:styleId="CommentTextChar">
    <w:name w:val="Comment Text Char"/>
    <w:basedOn w:val="DefaultParagraphFont"/>
    <w:link w:val="CommentText"/>
    <w:rsid w:val="00E760B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0BF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E760BF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E760BF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E760BF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760BF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760BF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760BF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760BF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760BF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760BF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E760BF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E760BF"/>
    <w:pPr>
      <w:ind w:left="720"/>
      <w:contextualSpacing/>
    </w:pPr>
  </w:style>
  <w:style w:type="paragraph" w:styleId="NoSpacing">
    <w:name w:val="No Spacing"/>
    <w:uiPriority w:val="1"/>
    <w:semiHidden/>
    <w:qFormat/>
    <w:rsid w:val="00E760B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E760BF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60BF"/>
    <w:rPr>
      <w:color w:val="808080"/>
      <w:lang w:val="en-GB"/>
    </w:rPr>
  </w:style>
  <w:style w:type="table" w:styleId="TableGrid">
    <w:name w:val="Table Grid"/>
    <w:basedOn w:val="TableNormal"/>
    <w:rsid w:val="00E7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E760BF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E760BF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E760BF"/>
    <w:rPr>
      <w:sz w:val="2"/>
    </w:rPr>
  </w:style>
  <w:style w:type="character" w:customStyle="1" w:styleId="ASpacerChar">
    <w:name w:val="A_Spacer Char"/>
    <w:basedOn w:val="DefaultParagraphFont"/>
    <w:link w:val="ASpacer"/>
    <w:rsid w:val="00E760BF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E760BF"/>
  </w:style>
  <w:style w:type="character" w:styleId="UnresolvedMention">
    <w:name w:val="Unresolved Mention"/>
    <w:basedOn w:val="DefaultParagraphFont"/>
    <w:uiPriority w:val="99"/>
    <w:semiHidden/>
    <w:rsid w:val="00E760BF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E760BF"/>
  </w:style>
  <w:style w:type="paragraph" w:customStyle="1" w:styleId="AText0">
    <w:name w:val="A_Text0"/>
    <w:basedOn w:val="AText"/>
    <w:next w:val="AText"/>
    <w:rsid w:val="00E760BF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iPriority w:val="99"/>
    <w:unhideWhenUsed/>
    <w:rsid w:val="00E760BF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uiPriority w:val="99"/>
    <w:rsid w:val="00E760BF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E760BF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E760BF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E760BF"/>
  </w:style>
  <w:style w:type="paragraph" w:styleId="BlockText">
    <w:name w:val="Block Text"/>
    <w:basedOn w:val="Normal"/>
    <w:semiHidden/>
    <w:unhideWhenUsed/>
    <w:rsid w:val="00E760B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E760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60BF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E760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760BF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E760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760BF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760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760BF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760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60BF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760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760BF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760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760BF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760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760BF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E760BF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760B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760B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760BF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760BF"/>
  </w:style>
  <w:style w:type="character" w:customStyle="1" w:styleId="DateChar">
    <w:name w:val="Date Char"/>
    <w:basedOn w:val="DefaultParagraphFont"/>
    <w:link w:val="Date"/>
    <w:semiHidden/>
    <w:rsid w:val="00E760BF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E760B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760BF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E760BF"/>
  </w:style>
  <w:style w:type="character" w:customStyle="1" w:styleId="E-mailSignatureChar">
    <w:name w:val="E-mail Signature Char"/>
    <w:basedOn w:val="DefaultParagraphFont"/>
    <w:link w:val="E-mailSignature"/>
    <w:semiHidden/>
    <w:rsid w:val="00E760BF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E760BF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E760BF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E760BF"/>
  </w:style>
  <w:style w:type="character" w:customStyle="1" w:styleId="EndnoteTextChar">
    <w:name w:val="Endnote Text Char"/>
    <w:basedOn w:val="DefaultParagraphFont"/>
    <w:link w:val="EndnoteText"/>
    <w:semiHidden/>
    <w:rsid w:val="00E760BF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E760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760BF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E760BF"/>
  </w:style>
  <w:style w:type="character" w:customStyle="1" w:styleId="FootnoteTextChar">
    <w:name w:val="Footnote Text Char"/>
    <w:basedOn w:val="DefaultParagraphFont"/>
    <w:link w:val="FootnoteText"/>
    <w:semiHidden/>
    <w:rsid w:val="00E760BF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E760BF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E760B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760BF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E760BF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E760BF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E760B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760BF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E760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E760BF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E760BF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760BF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760BF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760BF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760BF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760BF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760BF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760BF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760BF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760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760BF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760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760BF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E760BF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6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760BF"/>
    <w:rPr>
      <w:lang w:val="en-GB"/>
    </w:rPr>
  </w:style>
  <w:style w:type="paragraph" w:styleId="List">
    <w:name w:val="List"/>
    <w:basedOn w:val="Normal"/>
    <w:semiHidden/>
    <w:unhideWhenUsed/>
    <w:rsid w:val="00E760BF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760BF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760BF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760BF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760BF"/>
    <w:pPr>
      <w:ind w:left="1415" w:hanging="283"/>
      <w:contextualSpacing/>
    </w:pPr>
  </w:style>
  <w:style w:type="paragraph" w:styleId="ListBullet">
    <w:name w:val="List Bullet"/>
    <w:basedOn w:val="Normal"/>
    <w:semiHidden/>
    <w:rsid w:val="00E760BF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E760BF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E760BF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E760BF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E760BF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E760B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760B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E760B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E760B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E760B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E760BF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E760BF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760BF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760BF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760BF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E760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760BF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E760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760B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E760B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760BF"/>
  </w:style>
  <w:style w:type="character" w:customStyle="1" w:styleId="NoteHeadingChar">
    <w:name w:val="Note Heading Char"/>
    <w:basedOn w:val="DefaultParagraphFont"/>
    <w:link w:val="NoteHeading"/>
    <w:semiHidden/>
    <w:rsid w:val="00E760BF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E760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60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60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60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760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760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760BF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760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760BF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760BF"/>
  </w:style>
  <w:style w:type="character" w:customStyle="1" w:styleId="SalutationChar">
    <w:name w:val="Salutation Char"/>
    <w:basedOn w:val="DefaultParagraphFont"/>
    <w:link w:val="Salutation"/>
    <w:semiHidden/>
    <w:rsid w:val="00E760BF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E760B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760BF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E760B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E760BF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E760BF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E760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760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E760BF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E760BF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760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760BF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E760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760B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E760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60BF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locked/>
    <w:rsid w:val="00F202C5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locked/>
    <w:rsid w:val="00F202C5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57348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7E1AB-C6E8-4039-ACF8-5745125EE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8</TotalTime>
  <Pages>3</Pages>
  <Words>704</Words>
  <Characters>4018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Jane Mbau</cp:lastModifiedBy>
  <cp:revision>11</cp:revision>
  <cp:lastPrinted>2026-07-14T15:36:00Z</cp:lastPrinted>
  <dcterms:created xsi:type="dcterms:W3CDTF">2026-07-14T15:32:00Z</dcterms:created>
  <dcterms:modified xsi:type="dcterms:W3CDTF">2026-07-14T15:38:00Z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0x010100A8527E0A0837F64083645E115EB57567</vt:lpwstr>
  </property>
</Properties>
</file>