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E760BF" w:rsidRPr="004C7DC1" w14:paraId="62BBB148" w14:textId="77777777" w:rsidTr="00E760BF">
        <w:trPr>
          <w:trHeight w:val="340"/>
        </w:trPr>
        <w:tc>
          <w:tcPr>
            <w:tcW w:w="1559" w:type="dxa"/>
          </w:tcPr>
          <w:p w14:paraId="457B62CB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  <w:tc>
          <w:tcPr>
            <w:tcW w:w="4819" w:type="dxa"/>
          </w:tcPr>
          <w:p w14:paraId="2989D4DF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  <w:tc>
          <w:tcPr>
            <w:tcW w:w="3118" w:type="dxa"/>
          </w:tcPr>
          <w:p w14:paraId="27B841A9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</w:tr>
    </w:tbl>
    <w:p w14:paraId="55422F68" w14:textId="77777777" w:rsidR="006533B3" w:rsidRPr="004C7DC1" w:rsidRDefault="006533B3" w:rsidP="00E760BF">
      <w:pPr>
        <w:pStyle w:val="ASpacer"/>
        <w:rPr>
          <w:rFonts w:eastAsiaTheme="minorEastAsia"/>
          <w:lang w:val="fr-FR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6378"/>
        <w:gridCol w:w="3118"/>
      </w:tblGrid>
      <w:tr w:rsidR="00E760BF" w:rsidRPr="004C7DC1" w14:paraId="7D5C58EE" w14:textId="77777777" w:rsidTr="00E760BF">
        <w:trPr>
          <w:trHeight w:val="340"/>
        </w:trPr>
        <w:tc>
          <w:tcPr>
            <w:tcW w:w="3358" w:type="pct"/>
            <w:vAlign w:val="bottom"/>
          </w:tcPr>
          <w:p w14:paraId="317D36B5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  <w:tc>
          <w:tcPr>
            <w:tcW w:w="1642" w:type="pct"/>
            <w:noWrap/>
            <w:vAlign w:val="bottom"/>
          </w:tcPr>
          <w:p w14:paraId="2BA894AC" w14:textId="075AB504" w:rsidR="00E760BF" w:rsidRPr="004C7DC1" w:rsidRDefault="009E0219" w:rsidP="00E760BF">
            <w:pPr>
              <w:pStyle w:val="ASymbol"/>
              <w:rPr>
                <w:lang w:val="fr-FR"/>
              </w:rPr>
            </w:pPr>
            <w:bookmarkStart w:id="0" w:name="Symbol1A"/>
            <w:bookmarkStart w:id="1" w:name="Symbol1B"/>
            <w:bookmarkStart w:id="2" w:name="Symbol1C"/>
            <w:bookmarkEnd w:id="0"/>
            <w:bookmarkEnd w:id="1"/>
            <w:bookmarkEnd w:id="2"/>
            <w:r w:rsidRPr="004C7DC1">
              <w:rPr>
                <w:b/>
                <w:sz w:val="28"/>
                <w:lang w:val="fr-FR"/>
              </w:rPr>
              <w:t>UNEP</w:t>
            </w:r>
            <w:r w:rsidRPr="004C7DC1">
              <w:rPr>
                <w:lang w:val="fr-FR"/>
              </w:rPr>
              <w:t>/OzL.Pro.WG.1/48/CRP.5</w:t>
            </w:r>
          </w:p>
        </w:tc>
      </w:tr>
    </w:tbl>
    <w:p w14:paraId="7809C551" w14:textId="77777777" w:rsidR="00E760BF" w:rsidRPr="004C7DC1" w:rsidRDefault="00E760BF" w:rsidP="00E760BF">
      <w:pPr>
        <w:pStyle w:val="ASpacer"/>
        <w:rPr>
          <w:rFonts w:eastAsiaTheme="minorEastAsia"/>
          <w:lang w:val="fr-FR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E760BF" w:rsidRPr="004C7DC1" w14:paraId="2508109A" w14:textId="77777777" w:rsidTr="00E760BF">
        <w:trPr>
          <w:trHeight w:val="2098"/>
        </w:trPr>
        <w:tc>
          <w:tcPr>
            <w:tcW w:w="5102" w:type="dxa"/>
          </w:tcPr>
          <w:p w14:paraId="13F7AF65" w14:textId="596D05DA" w:rsidR="00E760BF" w:rsidRPr="004C7DC1" w:rsidRDefault="009E0219" w:rsidP="00E760BF">
            <w:pPr>
              <w:pStyle w:val="AConvName"/>
              <w:rPr>
                <w:rFonts w:asciiTheme="minorBidi" w:eastAsiaTheme="minorEastAsia" w:hAnsiTheme="minorBidi" w:cstheme="minorBidi"/>
                <w:lang w:val="fr-FR"/>
              </w:rPr>
            </w:pPr>
            <w:r w:rsidRPr="004C7DC1">
              <w:rPr>
                <w:rFonts w:asciiTheme="minorBidi" w:hAnsiTheme="minorBidi" w:cstheme="minorBidi"/>
                <w:lang w:val="fr-FR"/>
              </w:rPr>
              <w:t xml:space="preserve">Programme </w:t>
            </w:r>
            <w:r w:rsidRPr="004C7DC1">
              <w:rPr>
                <w:rFonts w:asciiTheme="minorBidi" w:hAnsiTheme="minorBidi" w:cstheme="minorBidi"/>
                <w:lang w:val="fr-FR"/>
              </w:rPr>
              <w:br/>
              <w:t xml:space="preserve">des Nations Unies </w:t>
            </w:r>
            <w:r w:rsidRPr="004C7DC1">
              <w:rPr>
                <w:rFonts w:asciiTheme="minorBidi" w:hAnsiTheme="minorBidi" w:cstheme="minorBidi"/>
                <w:lang w:val="fr-FR"/>
              </w:rPr>
              <w:br/>
              <w:t>pour l</w:t>
            </w:r>
            <w:r w:rsidR="00FC7FC8" w:rsidRPr="004C7DC1">
              <w:rPr>
                <w:rFonts w:asciiTheme="minorBidi" w:hAnsiTheme="minorBidi" w:cstheme="minorBidi"/>
                <w:lang w:val="fr-FR"/>
              </w:rPr>
              <w:t>’</w:t>
            </w:r>
            <w:r w:rsidRPr="004C7DC1">
              <w:rPr>
                <w:rFonts w:asciiTheme="minorBidi" w:hAnsiTheme="minorBidi" w:cstheme="minorBidi"/>
                <w:lang w:val="fr-FR"/>
              </w:rPr>
              <w:t>environnement</w:t>
            </w:r>
          </w:p>
        </w:tc>
        <w:tc>
          <w:tcPr>
            <w:tcW w:w="1276" w:type="dxa"/>
          </w:tcPr>
          <w:p w14:paraId="20107F20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  <w:tc>
          <w:tcPr>
            <w:tcW w:w="3118" w:type="dxa"/>
          </w:tcPr>
          <w:p w14:paraId="2646DD0C" w14:textId="7234AFB8" w:rsidR="00E760BF" w:rsidRPr="004C7DC1" w:rsidRDefault="00E760BF" w:rsidP="00E760BF">
            <w:pPr>
              <w:pStyle w:val="AText"/>
              <w:rPr>
                <w:rFonts w:eastAsiaTheme="minorEastAsia"/>
                <w:lang w:val="fr-FR"/>
              </w:rPr>
            </w:pPr>
            <w:bookmarkStart w:id="3" w:name="DistributionDate"/>
            <w:r w:rsidRPr="004C7DC1">
              <w:rPr>
                <w:color w:val="000000"/>
                <w:lang w:val="fr-FR"/>
              </w:rPr>
              <w:t xml:space="preserve">14 juillet 2026 </w:t>
            </w:r>
            <w:bookmarkEnd w:id="3"/>
          </w:p>
          <w:p w14:paraId="33E9A267" w14:textId="361E0F96" w:rsidR="00E760BF" w:rsidRPr="004C7DC1" w:rsidRDefault="00E760BF" w:rsidP="00261292">
            <w:pPr>
              <w:pStyle w:val="AText"/>
              <w:rPr>
                <w:rFonts w:eastAsiaTheme="minorEastAsia"/>
                <w:lang w:val="fr-FR"/>
              </w:rPr>
            </w:pPr>
            <w:bookmarkStart w:id="4" w:name="DistributionLang"/>
            <w:r w:rsidRPr="004C7DC1">
              <w:rPr>
                <w:color w:val="000000"/>
                <w:lang w:val="fr-FR"/>
              </w:rPr>
              <w:t>Français</w:t>
            </w:r>
            <w:r w:rsidR="00261292" w:rsidRPr="004C7DC1">
              <w:rPr>
                <w:color w:val="000000"/>
                <w:lang w:val="fr-FR"/>
              </w:rPr>
              <w:br/>
            </w:r>
            <w:r w:rsidRPr="004C7DC1">
              <w:rPr>
                <w:color w:val="000000"/>
                <w:lang w:val="fr-FR"/>
              </w:rPr>
              <w:t>Original : anglais</w:t>
            </w:r>
            <w:bookmarkEnd w:id="4"/>
          </w:p>
        </w:tc>
      </w:tr>
    </w:tbl>
    <w:p w14:paraId="33234FC7" w14:textId="77777777" w:rsidR="00E760BF" w:rsidRPr="004C7DC1" w:rsidRDefault="00E760BF" w:rsidP="00E760BF">
      <w:pPr>
        <w:pStyle w:val="ASpacer"/>
        <w:rPr>
          <w:rFonts w:eastAsiaTheme="minorEastAsia"/>
          <w:lang w:val="fr-FR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E760BF" w:rsidRPr="004C7DC1" w14:paraId="173D3DF8" w14:textId="77777777" w:rsidTr="00E760BF">
        <w:trPr>
          <w:trHeight w:val="57"/>
        </w:trPr>
        <w:tc>
          <w:tcPr>
            <w:tcW w:w="5528" w:type="dxa"/>
          </w:tcPr>
          <w:p w14:paraId="2CF8F7D9" w14:textId="1CB55A49" w:rsidR="00E760BF" w:rsidRPr="004C7DC1" w:rsidRDefault="00E760BF" w:rsidP="00E760BF">
            <w:pPr>
              <w:pStyle w:val="AATitle"/>
              <w:rPr>
                <w:rFonts w:eastAsiaTheme="minorEastAsia"/>
                <w:lang w:val="fr-FR"/>
              </w:rPr>
            </w:pPr>
            <w:bookmarkStart w:id="5" w:name="CorNot1Text"/>
            <w:r w:rsidRPr="004C7DC1">
              <w:rPr>
                <w:bCs/>
                <w:color w:val="000000"/>
                <w:lang w:val="fr-FR"/>
              </w:rPr>
              <w:t>Groupe de travail à composition non limitée des Parties</w:t>
            </w:r>
            <w:r w:rsidR="00C23C07" w:rsidRPr="004C7DC1">
              <w:rPr>
                <w:bCs/>
                <w:color w:val="000000"/>
                <w:lang w:val="fr-FR"/>
              </w:rPr>
              <w:br/>
            </w:r>
            <w:r w:rsidRPr="004C7DC1">
              <w:rPr>
                <w:bCs/>
                <w:color w:val="000000"/>
                <w:lang w:val="fr-FR"/>
              </w:rPr>
              <w:t>au Protocole de Montréal relatif à des substances</w:t>
            </w:r>
            <w:r w:rsidR="00C23C07" w:rsidRPr="004C7DC1">
              <w:rPr>
                <w:bCs/>
                <w:color w:val="000000"/>
                <w:lang w:val="fr-FR"/>
              </w:rPr>
              <w:br/>
            </w:r>
            <w:r w:rsidRPr="004C7DC1">
              <w:rPr>
                <w:bCs/>
                <w:color w:val="000000"/>
                <w:lang w:val="fr-FR"/>
              </w:rPr>
              <w:t>qui appauvrissent la couche d</w:t>
            </w:r>
            <w:r w:rsidR="00FC7FC8" w:rsidRPr="004C7DC1">
              <w:rPr>
                <w:bCs/>
                <w:color w:val="000000"/>
                <w:lang w:val="fr-FR"/>
              </w:rPr>
              <w:t>’</w:t>
            </w:r>
            <w:r w:rsidRPr="004C7DC1">
              <w:rPr>
                <w:bCs/>
                <w:color w:val="000000"/>
                <w:lang w:val="fr-FR"/>
              </w:rPr>
              <w:t>ozone</w:t>
            </w:r>
            <w:r w:rsidRPr="004C7DC1">
              <w:rPr>
                <w:color w:val="000000"/>
                <w:lang w:val="fr-FR"/>
              </w:rPr>
              <w:t xml:space="preserve"> </w:t>
            </w:r>
          </w:p>
          <w:p w14:paraId="3D91F8AE" w14:textId="1BB8A0B0" w:rsidR="00E760BF" w:rsidRPr="004C7DC1" w:rsidRDefault="00E760BF" w:rsidP="00E760BF">
            <w:pPr>
              <w:pStyle w:val="AATitle"/>
              <w:rPr>
                <w:rFonts w:eastAsiaTheme="minorEastAsia"/>
                <w:lang w:val="fr-FR"/>
              </w:rPr>
            </w:pPr>
            <w:r w:rsidRPr="004C7DC1">
              <w:rPr>
                <w:bCs/>
                <w:color w:val="000000"/>
                <w:lang w:val="fr-FR"/>
              </w:rPr>
              <w:t>Quarante-huitième réunion</w:t>
            </w:r>
            <w:r w:rsidRPr="004C7DC1">
              <w:rPr>
                <w:color w:val="000000"/>
                <w:lang w:val="fr-FR"/>
              </w:rPr>
              <w:t xml:space="preserve"> </w:t>
            </w:r>
            <w:bookmarkEnd w:id="5"/>
          </w:p>
          <w:p w14:paraId="77CA7874" w14:textId="3869CD58" w:rsidR="00E760BF" w:rsidRPr="004C7DC1" w:rsidRDefault="00E760BF" w:rsidP="00E760BF">
            <w:pPr>
              <w:pStyle w:val="AATitle1"/>
              <w:rPr>
                <w:rFonts w:eastAsiaTheme="minorEastAsia"/>
                <w:lang w:val="fr-FR"/>
              </w:rPr>
            </w:pPr>
            <w:bookmarkStart w:id="6" w:name="CorNot1VenueDate"/>
            <w:r w:rsidRPr="004C7DC1">
              <w:rPr>
                <w:color w:val="000000"/>
                <w:lang w:val="fr-FR"/>
              </w:rPr>
              <w:t xml:space="preserve">Bangkok, 13-17 juillet 2026 </w:t>
            </w:r>
            <w:bookmarkEnd w:id="6"/>
          </w:p>
          <w:p w14:paraId="31A6AE15" w14:textId="76CA70FB" w:rsidR="00E760BF" w:rsidRPr="004C7DC1" w:rsidRDefault="00E760BF" w:rsidP="00E760BF">
            <w:pPr>
              <w:pStyle w:val="AATitle1"/>
              <w:rPr>
                <w:rFonts w:eastAsiaTheme="minorEastAsia"/>
                <w:lang w:val="fr-FR"/>
              </w:rPr>
            </w:pPr>
            <w:bookmarkStart w:id="7" w:name="CorNot1AgItem"/>
            <w:r w:rsidRPr="004C7DC1">
              <w:rPr>
                <w:color w:val="000000"/>
                <w:lang w:val="fr-FR"/>
              </w:rPr>
              <w:t>Point 4 e) de l</w:t>
            </w:r>
            <w:r w:rsidR="00FC7FC8" w:rsidRPr="004C7DC1">
              <w:rPr>
                <w:color w:val="000000"/>
                <w:lang w:val="fr-FR"/>
              </w:rPr>
              <w:t>’</w:t>
            </w:r>
            <w:r w:rsidRPr="004C7DC1">
              <w:rPr>
                <w:color w:val="000000"/>
                <w:lang w:val="fr-FR"/>
              </w:rPr>
              <w:t xml:space="preserve">ordre du jour </w:t>
            </w:r>
            <w:bookmarkEnd w:id="7"/>
          </w:p>
          <w:p w14:paraId="6D2DFD66" w14:textId="0AD65209" w:rsidR="00E760BF" w:rsidRPr="004C7DC1" w:rsidRDefault="00E760BF" w:rsidP="00E760BF">
            <w:pPr>
              <w:pStyle w:val="AATitle2"/>
              <w:rPr>
                <w:rFonts w:eastAsiaTheme="minorEastAsia"/>
                <w:lang w:val="fr-FR"/>
              </w:rPr>
            </w:pPr>
            <w:bookmarkStart w:id="8" w:name="CorNot1AgTitle"/>
            <w:r w:rsidRPr="004C7DC1">
              <w:rPr>
                <w:bCs/>
                <w:color w:val="000000"/>
                <w:lang w:val="fr-FR"/>
              </w:rPr>
              <w:t>Exposés du Groupe de l</w:t>
            </w:r>
            <w:r w:rsidR="00FC7FC8" w:rsidRPr="004C7DC1">
              <w:rPr>
                <w:bCs/>
                <w:color w:val="000000"/>
                <w:lang w:val="fr-FR"/>
              </w:rPr>
              <w:t>’</w:t>
            </w:r>
            <w:r w:rsidRPr="004C7DC1">
              <w:rPr>
                <w:bCs/>
                <w:color w:val="000000"/>
                <w:lang w:val="fr-FR"/>
              </w:rPr>
              <w:t>évaluation technique et économique sur</w:t>
            </w:r>
            <w:r w:rsidR="00C23C07" w:rsidRPr="004C7DC1">
              <w:rPr>
                <w:bCs/>
                <w:color w:val="000000"/>
                <w:lang w:val="fr-FR"/>
              </w:rPr>
              <w:t> </w:t>
            </w:r>
            <w:r w:rsidRPr="004C7DC1">
              <w:rPr>
                <w:bCs/>
                <w:color w:val="000000"/>
                <w:lang w:val="fr-FR"/>
              </w:rPr>
              <w:t>son rapport d</w:t>
            </w:r>
            <w:r w:rsidR="00FC7FC8" w:rsidRPr="004C7DC1">
              <w:rPr>
                <w:bCs/>
                <w:color w:val="000000"/>
                <w:lang w:val="fr-FR"/>
              </w:rPr>
              <w:t>’</w:t>
            </w:r>
            <w:r w:rsidRPr="004C7DC1">
              <w:rPr>
                <w:bCs/>
                <w:color w:val="000000"/>
                <w:lang w:val="fr-FR"/>
              </w:rPr>
              <w:t>activité pour 2026 : questions diverses</w:t>
            </w:r>
            <w:r w:rsidRPr="004C7DC1">
              <w:rPr>
                <w:color w:val="000000"/>
                <w:lang w:val="fr-FR"/>
              </w:rPr>
              <w:t xml:space="preserve">  </w:t>
            </w:r>
            <w:bookmarkEnd w:id="8"/>
          </w:p>
        </w:tc>
        <w:tc>
          <w:tcPr>
            <w:tcW w:w="3969" w:type="dxa"/>
          </w:tcPr>
          <w:p w14:paraId="185F333C" w14:textId="77777777" w:rsidR="00E760BF" w:rsidRPr="004C7DC1" w:rsidRDefault="00E760BF" w:rsidP="00E760BF">
            <w:pPr>
              <w:pStyle w:val="Normal-pool"/>
              <w:rPr>
                <w:rFonts w:eastAsiaTheme="minorEastAsia"/>
                <w:lang w:val="fr-FR"/>
              </w:rPr>
            </w:pPr>
          </w:p>
        </w:tc>
      </w:tr>
    </w:tbl>
    <w:p w14:paraId="2E349B64" w14:textId="203E9542" w:rsidR="00F202C5" w:rsidRPr="004C7DC1" w:rsidRDefault="00F202C5" w:rsidP="00A60B7A">
      <w:pPr>
        <w:pStyle w:val="BBTitle"/>
        <w:spacing w:before="240" w:after="120"/>
        <w:rPr>
          <w:lang w:val="fr-FR"/>
        </w:rPr>
      </w:pPr>
      <w:r w:rsidRPr="004C7DC1">
        <w:rPr>
          <w:bCs/>
          <w:lang w:val="fr-FR"/>
        </w:rPr>
        <w:t>Projet de décision sur les techniques de destruction de</w:t>
      </w:r>
      <w:r w:rsidR="00E646BE" w:rsidRPr="004C7DC1">
        <w:rPr>
          <w:bCs/>
          <w:lang w:val="fr-FR"/>
        </w:rPr>
        <w:t> </w:t>
      </w:r>
      <w:r w:rsidRPr="004C7DC1">
        <w:rPr>
          <w:bCs/>
          <w:lang w:val="fr-FR"/>
        </w:rPr>
        <w:t>substances réglementées</w:t>
      </w:r>
    </w:p>
    <w:p w14:paraId="333A0D57" w14:textId="77777777" w:rsidR="00F202C5" w:rsidRPr="004C7DC1" w:rsidRDefault="00F202C5" w:rsidP="00F202C5">
      <w:pPr>
        <w:pStyle w:val="CH2"/>
        <w:rPr>
          <w:lang w:val="fr-FR"/>
        </w:rPr>
      </w:pPr>
      <w:r w:rsidRPr="004C7DC1">
        <w:rPr>
          <w:lang w:val="fr-FR"/>
        </w:rPr>
        <w:tab/>
      </w:r>
      <w:r w:rsidRPr="004C7DC1">
        <w:rPr>
          <w:lang w:val="fr-FR"/>
        </w:rPr>
        <w:tab/>
      </w:r>
      <w:r w:rsidRPr="004C7DC1">
        <w:rPr>
          <w:bCs/>
          <w:lang w:val="fr-FR"/>
        </w:rPr>
        <w:t>Présenté par le Canada</w:t>
      </w:r>
    </w:p>
    <w:p w14:paraId="551E9D6B" w14:textId="77777777" w:rsidR="00F202C5" w:rsidRPr="004C7DC1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fr-FR"/>
        </w:rPr>
      </w:pPr>
      <w:r w:rsidRPr="004C7DC1">
        <w:rPr>
          <w:i/>
          <w:iCs/>
          <w:lang w:val="fr-FR"/>
        </w:rPr>
        <w:t>La trente-huitième Réunion des Parties</w:t>
      </w:r>
      <w:r w:rsidRPr="004C7DC1">
        <w:rPr>
          <w:lang w:val="fr-FR"/>
        </w:rPr>
        <w:t>,</w:t>
      </w:r>
    </w:p>
    <w:p w14:paraId="1289F168" w14:textId="1BA2F758" w:rsidR="00F202C5" w:rsidRPr="004C7DC1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fr-FR"/>
        </w:rPr>
      </w:pPr>
      <w:r w:rsidRPr="004C7DC1">
        <w:rPr>
          <w:i/>
          <w:iCs/>
          <w:lang w:val="fr-FR"/>
        </w:rPr>
        <w:t>Rappelant</w:t>
      </w:r>
      <w:r w:rsidRPr="004C7DC1">
        <w:rPr>
          <w:lang w:val="fr-FR"/>
        </w:rPr>
        <w:t xml:space="preserve"> que, dans la décision IV/11, le Groupe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évaluation technique et économique </w:t>
      </w:r>
      <w:r w:rsidR="004A01F5" w:rsidRPr="004C7DC1">
        <w:rPr>
          <w:lang w:val="fr-FR"/>
        </w:rPr>
        <w:t>était</w:t>
      </w:r>
      <w:r w:rsidRPr="004C7DC1">
        <w:rPr>
          <w:lang w:val="fr-FR"/>
        </w:rPr>
        <w:t xml:space="preserve"> prié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évaluer les nouvelles techniques de destruction proposées et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élaborer des recommandations qui ser</w:t>
      </w:r>
      <w:r w:rsidR="004A01F5" w:rsidRPr="004C7DC1">
        <w:rPr>
          <w:lang w:val="fr-FR"/>
        </w:rPr>
        <w:t>aie</w:t>
      </w:r>
      <w:r w:rsidRPr="004C7DC1">
        <w:rPr>
          <w:lang w:val="fr-FR"/>
        </w:rPr>
        <w:t>nt soumises à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examen des Parties au Protocole de Montréal relatif à des substances qui appauvrissent la couche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ozone au cours de leur réunion annuelle,</w:t>
      </w:r>
    </w:p>
    <w:p w14:paraId="50FEECF6" w14:textId="422462D3" w:rsidR="00F202C5" w:rsidRPr="004C7DC1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fr-FR"/>
        </w:rPr>
      </w:pPr>
      <w:r w:rsidRPr="004C7DC1">
        <w:rPr>
          <w:i/>
          <w:iCs/>
          <w:lang w:val="fr-FR"/>
        </w:rPr>
        <w:t xml:space="preserve">Prenant note avec satisfaction </w:t>
      </w:r>
      <w:r w:rsidRPr="004C7DC1">
        <w:rPr>
          <w:lang w:val="fr-FR"/>
        </w:rPr>
        <w:t>du rapport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activité de 2026 du Comité des choix techniques pour les produits chimiques et médicaux du Groupe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évaluation technique et économique, qui</w:t>
      </w:r>
      <w:r w:rsidR="00B26441" w:rsidRPr="004C7DC1">
        <w:rPr>
          <w:lang w:val="fr-FR"/>
        </w:rPr>
        <w:t> </w:t>
      </w:r>
      <w:r w:rsidRPr="004C7DC1">
        <w:rPr>
          <w:lang w:val="fr-FR"/>
        </w:rPr>
        <w:t>contient une évaluation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une technique de destruction présentée par le Canada,</w:t>
      </w:r>
    </w:p>
    <w:p w14:paraId="5ED56C76" w14:textId="3DEDE135" w:rsidR="00F202C5" w:rsidRPr="004C7DC1" w:rsidRDefault="003114EF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fr-FR"/>
        </w:rPr>
      </w:pPr>
      <w:r w:rsidRPr="004C7DC1">
        <w:rPr>
          <w:i/>
          <w:iCs/>
          <w:lang w:val="fr-FR"/>
        </w:rPr>
        <w:t xml:space="preserve">Prenant également note avec satisfaction </w:t>
      </w:r>
      <w:r w:rsidRPr="004C7DC1">
        <w:rPr>
          <w:lang w:val="fr-FR"/>
        </w:rPr>
        <w:t>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évaluation réalisée par le Groupe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évaluation technique et économique concernant cette technique de destruction, notamment en</w:t>
      </w:r>
      <w:r w:rsidR="00B26441" w:rsidRPr="004C7DC1">
        <w:rPr>
          <w:lang w:val="fr-FR"/>
        </w:rPr>
        <w:t> </w:t>
      </w:r>
      <w:r w:rsidRPr="004C7DC1">
        <w:rPr>
          <w:lang w:val="fr-FR"/>
        </w:rPr>
        <w:t>ce</w:t>
      </w:r>
      <w:r w:rsidR="00B26441" w:rsidRPr="004C7DC1">
        <w:rPr>
          <w:lang w:val="fr-FR"/>
        </w:rPr>
        <w:t> </w:t>
      </w:r>
      <w:r w:rsidRPr="004C7DC1">
        <w:rPr>
          <w:lang w:val="fr-FR"/>
        </w:rPr>
        <w:t>qui concerne son efficacité en matière de destruction et 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élimination, ainsi que de sa recommandation visant à ajouter cette technique à la liste des techniques de destruction approuvées par les Parties,</w:t>
      </w:r>
    </w:p>
    <w:p w14:paraId="3CAED591" w14:textId="77777777" w:rsidR="00F202C5" w:rsidRPr="004C7DC1" w:rsidRDefault="00F202C5" w:rsidP="00F202C5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Cs/>
          <w:i/>
          <w:iCs/>
          <w:lang w:val="fr-FR"/>
        </w:rPr>
      </w:pPr>
      <w:r w:rsidRPr="004C7DC1">
        <w:rPr>
          <w:i/>
          <w:iCs/>
          <w:lang w:val="fr-FR"/>
        </w:rPr>
        <w:t xml:space="preserve">Décide </w:t>
      </w:r>
      <w:r w:rsidRPr="004C7DC1">
        <w:rPr>
          <w:lang w:val="fr-FR"/>
        </w:rPr>
        <w:t>:</w:t>
      </w:r>
    </w:p>
    <w:p w14:paraId="1A43E854" w14:textId="2BA4804D" w:rsidR="00F202C5" w:rsidRPr="004C7DC1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fr-FR"/>
        </w:rPr>
      </w:pPr>
      <w:r w:rsidRPr="004C7DC1">
        <w:rPr>
          <w:lang w:val="fr-FR"/>
        </w:rPr>
        <w:t>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approuver la technique de destruction suivante, telle </w:t>
      </w:r>
      <w:r w:rsidR="004A01F5" w:rsidRPr="004C7DC1">
        <w:rPr>
          <w:lang w:val="fr-FR"/>
        </w:rPr>
        <w:t>que présentée</w:t>
      </w:r>
      <w:r w:rsidRPr="004C7DC1">
        <w:rPr>
          <w:lang w:val="fr-FR"/>
        </w:rPr>
        <w:t xml:space="preserve"> </w:t>
      </w:r>
      <w:r w:rsidR="004A01F5" w:rsidRPr="004C7DC1">
        <w:rPr>
          <w:lang w:val="fr-FR"/>
        </w:rPr>
        <w:t>dans</w:t>
      </w:r>
      <w:r w:rsidRPr="004C7DC1">
        <w:rPr>
          <w:lang w:val="fr-FR"/>
        </w:rPr>
        <w:t xml:space="preserve">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annexe </w:t>
      </w:r>
      <w:r w:rsidR="004A01F5" w:rsidRPr="004C7DC1">
        <w:rPr>
          <w:lang w:val="fr-FR"/>
        </w:rPr>
        <w:t>à</w:t>
      </w:r>
      <w:r w:rsidR="00B26441" w:rsidRPr="004C7DC1">
        <w:rPr>
          <w:lang w:val="fr-FR"/>
        </w:rPr>
        <w:t> </w:t>
      </w:r>
      <w:r w:rsidRPr="004C7DC1">
        <w:rPr>
          <w:lang w:val="fr-FR"/>
        </w:rPr>
        <w:t>la présente décision, aux fins du paragraphe 5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article 1 du Protocole de Montréal, en complément des techniques recensées </w:t>
      </w:r>
      <w:r w:rsidR="004A01F5" w:rsidRPr="004C7DC1">
        <w:rPr>
          <w:lang w:val="fr-FR"/>
        </w:rPr>
        <w:t xml:space="preserve">à </w:t>
      </w:r>
      <w:r w:rsidRPr="004C7DC1">
        <w:rPr>
          <w:lang w:val="fr-FR"/>
        </w:rPr>
        <w:t>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annexe VI du rapport</w:t>
      </w:r>
      <w:r w:rsidR="00DF36E6" w:rsidRPr="004C7DC1">
        <w:rPr>
          <w:rStyle w:val="FootnoteReference"/>
          <w:lang w:val="fr-FR"/>
        </w:rPr>
        <w:footnoteReference w:id="2"/>
      </w:r>
      <w:r w:rsidRPr="004C7DC1">
        <w:rPr>
          <w:lang w:val="fr-FR"/>
        </w:rPr>
        <w:t xml:space="preserve"> de la quatrième Réunion des Parties et modifiées par les décisions V/26, VII/35, XIV/6, XXIX/4, XXX/6 et XXXV/5, pour les sources concentrées de substances </w:t>
      </w:r>
      <w:r w:rsidR="004A01F5" w:rsidRPr="004C7DC1">
        <w:rPr>
          <w:lang w:val="fr-FR"/>
        </w:rPr>
        <w:t xml:space="preserve">réglementées </w:t>
      </w:r>
      <w:r w:rsidRPr="004C7DC1">
        <w:rPr>
          <w:lang w:val="fr-FR"/>
        </w:rPr>
        <w:t xml:space="preserve">relevant du groupe </w:t>
      </w:r>
      <w:r w:rsidR="00563F15" w:rsidRPr="004C7DC1">
        <w:rPr>
          <w:lang w:val="fr-FR"/>
        </w:rPr>
        <w:t>1</w:t>
      </w:r>
      <w:r w:rsidRPr="004C7DC1">
        <w:rPr>
          <w:lang w:val="fr-FR"/>
        </w:rPr>
        <w:t xml:space="preserve">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Annexe A, du groupe </w:t>
      </w:r>
      <w:r w:rsidR="00563F15" w:rsidRPr="004C7DC1">
        <w:rPr>
          <w:lang w:val="fr-FR"/>
        </w:rPr>
        <w:t>1</w:t>
      </w:r>
      <w:r w:rsidRPr="004C7DC1">
        <w:rPr>
          <w:lang w:val="fr-FR"/>
        </w:rPr>
        <w:t xml:space="preserve">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Annexe C et du groupe </w:t>
      </w:r>
      <w:r w:rsidR="00563F15" w:rsidRPr="004C7DC1">
        <w:rPr>
          <w:lang w:val="fr-FR"/>
        </w:rPr>
        <w:t>1</w:t>
      </w:r>
      <w:r w:rsidRPr="004C7DC1">
        <w:rPr>
          <w:lang w:val="fr-FR"/>
        </w:rPr>
        <w:t xml:space="preserve">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 xml:space="preserve">Annexe F : arc plasma à </w:t>
      </w:r>
      <w:r w:rsidR="004A01F5" w:rsidRPr="004C7DC1">
        <w:rPr>
          <w:lang w:val="fr-FR"/>
        </w:rPr>
        <w:t xml:space="preserve">la </w:t>
      </w:r>
      <w:r w:rsidRPr="004C7DC1">
        <w:rPr>
          <w:lang w:val="fr-FR"/>
        </w:rPr>
        <w:t xml:space="preserve">vapeur </w:t>
      </w:r>
      <w:r w:rsidR="004A01F5" w:rsidRPr="004C7DC1">
        <w:rPr>
          <w:lang w:val="fr-FR"/>
        </w:rPr>
        <w:t>d</w:t>
      </w:r>
      <w:r w:rsidR="00FC7FC8" w:rsidRPr="004C7DC1">
        <w:rPr>
          <w:lang w:val="fr-FR"/>
        </w:rPr>
        <w:t>’</w:t>
      </w:r>
      <w:r w:rsidR="004A01F5" w:rsidRPr="004C7DC1">
        <w:rPr>
          <w:lang w:val="fr-FR"/>
        </w:rPr>
        <w:t xml:space="preserve">eau </w:t>
      </w:r>
      <w:r w:rsidRPr="004C7DC1">
        <w:rPr>
          <w:lang w:val="fr-FR"/>
        </w:rPr>
        <w:t>;</w:t>
      </w:r>
    </w:p>
    <w:p w14:paraId="14C0590B" w14:textId="13E70F86" w:rsidR="00F202C5" w:rsidRPr="004C7DC1" w:rsidRDefault="00F202C5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fr-FR"/>
        </w:rPr>
      </w:pPr>
      <w:r w:rsidRPr="004C7DC1">
        <w:rPr>
          <w:lang w:val="fr-FR"/>
        </w:rPr>
        <w:t>D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inviter les Parties à continuer de communiquer au Secrétariat de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ozone toute information utile à l</w:t>
      </w:r>
      <w:r w:rsidR="00FC7FC8" w:rsidRPr="004C7DC1">
        <w:rPr>
          <w:lang w:val="fr-FR"/>
        </w:rPr>
        <w:t>’</w:t>
      </w:r>
      <w:r w:rsidRPr="004C7DC1">
        <w:rPr>
          <w:lang w:val="fr-FR"/>
        </w:rPr>
        <w:t>examen des techniques de destruction.</w:t>
      </w:r>
    </w:p>
    <w:p w14:paraId="3A34B163" w14:textId="5BCA6E81" w:rsidR="009E0219" w:rsidRPr="004C7DC1" w:rsidRDefault="009E0219" w:rsidP="00F202C5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fr-FR"/>
        </w:rPr>
        <w:sectPr w:rsidR="009E0219" w:rsidRPr="004C7DC1" w:rsidSect="00E94AD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285F8C3" w14:textId="361F1A5C" w:rsidR="00F202C5" w:rsidRPr="004C7DC1" w:rsidRDefault="00F202C5" w:rsidP="00F202C5">
      <w:pPr>
        <w:pStyle w:val="ZZAnxheader"/>
        <w:rPr>
          <w:lang w:val="fr-FR"/>
        </w:rPr>
      </w:pPr>
      <w:r w:rsidRPr="004C7DC1">
        <w:rPr>
          <w:lang w:val="fr-FR"/>
        </w:rPr>
        <w:lastRenderedPageBreak/>
        <w:t>Annexe</w:t>
      </w:r>
    </w:p>
    <w:p w14:paraId="38A5037E" w14:textId="77777777" w:rsidR="00F202C5" w:rsidRPr="004C7DC1" w:rsidRDefault="00F202C5" w:rsidP="00F202C5">
      <w:pPr>
        <w:pStyle w:val="ZZAnxtitle"/>
        <w:rPr>
          <w:lang w:val="fr-FR"/>
        </w:rPr>
      </w:pPr>
      <w:r w:rsidRPr="004C7DC1">
        <w:rPr>
          <w:lang w:val="fr-FR"/>
        </w:rPr>
        <w:t>Techniques de destruction et approbations connexes</w:t>
      </w:r>
    </w:p>
    <w:tbl>
      <w:tblPr>
        <w:tblW w:w="5000" w:type="pct"/>
        <w:jc w:val="right"/>
        <w:tblLook w:val="06A0" w:firstRow="1" w:lastRow="0" w:firstColumn="1" w:lastColumn="0" w:noHBand="1" w:noVBand="1"/>
      </w:tblPr>
      <w:tblGrid>
        <w:gridCol w:w="1597"/>
        <w:gridCol w:w="1082"/>
        <w:gridCol w:w="1083"/>
        <w:gridCol w:w="1100"/>
        <w:gridCol w:w="1325"/>
        <w:gridCol w:w="1606"/>
        <w:gridCol w:w="1100"/>
        <w:gridCol w:w="1100"/>
        <w:gridCol w:w="1100"/>
        <w:gridCol w:w="1100"/>
        <w:gridCol w:w="1237"/>
        <w:gridCol w:w="999"/>
      </w:tblGrid>
      <w:tr w:rsidR="00C54FD3" w:rsidRPr="004C7DC1" w14:paraId="134126F4" w14:textId="77777777" w:rsidTr="00986D3D">
        <w:trPr>
          <w:trHeight w:val="302"/>
          <w:tblHeader/>
          <w:jc w:val="right"/>
        </w:trPr>
        <w:tc>
          <w:tcPr>
            <w:tcW w:w="1669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3CA86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Technique</w:t>
            </w:r>
          </w:p>
        </w:tc>
        <w:tc>
          <w:tcPr>
            <w:tcW w:w="12760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FD30AD" w14:textId="3D09499B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Champ d</w:t>
            </w:r>
            <w:r w:rsidR="00FC7FC8" w:rsidRPr="004C7DC1">
              <w:rPr>
                <w:i/>
                <w:iCs/>
                <w:color w:val="000000"/>
                <w:szCs w:val="18"/>
                <w:lang w:val="fr-FR"/>
              </w:rPr>
              <w:t>’</w:t>
            </w:r>
            <w:r w:rsidRPr="004C7DC1">
              <w:rPr>
                <w:i/>
                <w:iCs/>
                <w:color w:val="000000"/>
                <w:szCs w:val="18"/>
                <w:lang w:val="fr-FR"/>
              </w:rPr>
              <w:t>application</w:t>
            </w:r>
          </w:p>
        </w:tc>
      </w:tr>
      <w:tr w:rsidR="00C54FD3" w:rsidRPr="004C7DC1" w14:paraId="53A218E5" w14:textId="77777777" w:rsidTr="00986D3D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45802AC5" w14:textId="77777777" w:rsidR="00C54FD3" w:rsidRPr="004C7DC1" w:rsidRDefault="00C54FD3" w:rsidP="00B42F76">
            <w:pPr>
              <w:pStyle w:val="Normal-pool-Table"/>
              <w:rPr>
                <w:szCs w:val="18"/>
                <w:lang w:val="fr-FR"/>
              </w:rPr>
            </w:pPr>
          </w:p>
        </w:tc>
        <w:tc>
          <w:tcPr>
            <w:tcW w:w="1071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F59005" w14:textId="77777777" w:rsidR="00C54FD3" w:rsidRPr="004C7DC1" w:rsidRDefault="00C54FD3" w:rsidP="007B6C6F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Sources concentrées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30275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Sources diluées</w:t>
            </w:r>
          </w:p>
        </w:tc>
      </w:tr>
      <w:tr w:rsidR="00C54FD3" w:rsidRPr="004C7DC1" w14:paraId="3674AFCF" w14:textId="77777777" w:rsidTr="00986D3D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0CA1F398" w14:textId="77777777" w:rsidR="00C54FD3" w:rsidRPr="004C7DC1" w:rsidRDefault="00C54FD3" w:rsidP="00B42F76">
            <w:pPr>
              <w:pStyle w:val="Normal-pool-Table"/>
              <w:rPr>
                <w:szCs w:val="18"/>
                <w:lang w:val="fr-FR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ABEFF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A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4E1FFF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B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2E2791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C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0CCC7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E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CDCBD" w14:textId="77777777" w:rsidR="00C54FD3" w:rsidRPr="004C7DC1" w:rsidRDefault="00C54FD3" w:rsidP="00C54FD3">
            <w:pPr>
              <w:pStyle w:val="Normal-pool-Table"/>
              <w:jc w:val="center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F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9D0E9D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46493F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Annexe F</w:t>
            </w:r>
          </w:p>
        </w:tc>
      </w:tr>
      <w:tr w:rsidR="00C54FD3" w:rsidRPr="004C7DC1" w14:paraId="49B7A515" w14:textId="77777777" w:rsidTr="00986D3D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35895B56" w14:textId="77777777" w:rsidR="00C54FD3" w:rsidRPr="004C7DC1" w:rsidRDefault="00C54FD3" w:rsidP="00B42F76">
            <w:pPr>
              <w:pStyle w:val="Normal-pool-Table"/>
              <w:rPr>
                <w:szCs w:val="18"/>
                <w:lang w:val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81C27D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0F23DB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2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DF5882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5345CD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98365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227CD5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1BAFA1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DA502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FF865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2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891D26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00835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Groupe 1</w:t>
            </w:r>
          </w:p>
        </w:tc>
      </w:tr>
      <w:tr w:rsidR="00C54FD3" w:rsidRPr="004C7DC1" w14:paraId="420C97FF" w14:textId="77777777" w:rsidTr="00986D3D">
        <w:trPr>
          <w:trHeight w:val="300"/>
          <w:tblHeader/>
          <w:jc w:val="right"/>
        </w:trPr>
        <w:tc>
          <w:tcPr>
            <w:tcW w:w="1669" w:type="dxa"/>
            <w:vMerge/>
            <w:tcBorders>
              <w:bottom w:val="single" w:sz="12" w:space="0" w:color="auto"/>
            </w:tcBorders>
            <w:vAlign w:val="bottom"/>
          </w:tcPr>
          <w:p w14:paraId="2544E994" w14:textId="77777777" w:rsidR="00C54FD3" w:rsidRPr="004C7DC1" w:rsidRDefault="00C54FD3" w:rsidP="00B42F76">
            <w:pPr>
              <w:pStyle w:val="Normal-pool-Table"/>
              <w:rPr>
                <w:szCs w:val="18"/>
                <w:lang w:val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C18929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CFC primaires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7E527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Halons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DEDB4B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Autres CFC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F82B7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Tétrachlorure de carbone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96A8B4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proofErr w:type="spellStart"/>
            <w:r w:rsidRPr="004C7DC1">
              <w:rPr>
                <w:i/>
                <w:iCs/>
                <w:color w:val="000000"/>
                <w:szCs w:val="18"/>
                <w:lang w:val="fr-FR"/>
              </w:rPr>
              <w:t>Méthylchloroforme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D2F5E8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HCFC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08A11" w14:textId="012F2B4B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 xml:space="preserve">Bromure </w:t>
            </w:r>
            <w:r w:rsidR="00AF6842" w:rsidRPr="004C7DC1">
              <w:rPr>
                <w:i/>
                <w:iCs/>
                <w:color w:val="000000"/>
                <w:szCs w:val="18"/>
                <w:lang w:val="fr-FR"/>
              </w:rPr>
              <w:br/>
            </w:r>
            <w:r w:rsidRPr="004C7DC1">
              <w:rPr>
                <w:i/>
                <w:iCs/>
                <w:color w:val="000000"/>
                <w:szCs w:val="18"/>
                <w:lang w:val="fr-FR"/>
              </w:rPr>
              <w:t>de méthyle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2D7E46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HFC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5223F0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HFC-23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9863B" w14:textId="109CF53F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Substance appauvrissant la couche d</w:t>
            </w:r>
            <w:r w:rsidR="00FC7FC8" w:rsidRPr="004C7DC1">
              <w:rPr>
                <w:i/>
                <w:iCs/>
                <w:color w:val="000000"/>
                <w:szCs w:val="18"/>
                <w:lang w:val="fr-FR"/>
              </w:rPr>
              <w:t>’</w:t>
            </w:r>
            <w:r w:rsidRPr="004C7DC1">
              <w:rPr>
                <w:i/>
                <w:iCs/>
                <w:color w:val="000000"/>
                <w:szCs w:val="18"/>
                <w:lang w:val="fr-FR"/>
              </w:rPr>
              <w:t>ozone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DF4951" w14:textId="77777777" w:rsidR="00C54FD3" w:rsidRPr="004C7DC1" w:rsidRDefault="00C54FD3" w:rsidP="00B42F76">
            <w:pPr>
              <w:pStyle w:val="Normal-pool-Table"/>
              <w:rPr>
                <w:i/>
                <w:iCs/>
                <w:szCs w:val="18"/>
                <w:lang w:val="fr-FR"/>
              </w:rPr>
            </w:pPr>
            <w:r w:rsidRPr="004C7DC1">
              <w:rPr>
                <w:i/>
                <w:iCs/>
                <w:color w:val="000000"/>
                <w:szCs w:val="18"/>
                <w:lang w:val="fr-FR"/>
              </w:rPr>
              <w:t>HFC</w:t>
            </w:r>
          </w:p>
        </w:tc>
      </w:tr>
      <w:tr w:rsidR="00F202C5" w:rsidRPr="004C7DC1" w14:paraId="23E2C56B" w14:textId="77777777" w:rsidTr="00986D3D">
        <w:trPr>
          <w:trHeight w:val="300"/>
          <w:jc w:val="right"/>
        </w:trPr>
        <w:tc>
          <w:tcPr>
            <w:tcW w:w="1669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82FD6DE" w14:textId="7458BE69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Pourcentage d</w:t>
            </w:r>
            <w:r w:rsidR="00FC7FC8" w:rsidRPr="004C7DC1">
              <w:rPr>
                <w:color w:val="000000"/>
                <w:szCs w:val="18"/>
                <w:lang w:val="fr-FR"/>
              </w:rPr>
              <w:t>’</w:t>
            </w:r>
            <w:r w:rsidRPr="004C7DC1">
              <w:rPr>
                <w:color w:val="000000"/>
                <w:szCs w:val="18"/>
                <w:lang w:val="fr-FR"/>
              </w:rPr>
              <w:t>efficacité de destruction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5E52FC8E" w14:textId="2FEB4B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0AFC1CF" w14:textId="3688B768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1AADD17" w14:textId="77905FB3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2F0B2B7" w14:textId="384FE804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704FDE2" w14:textId="4FE77402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58C940E" w14:textId="0F09E372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D18A577" w14:textId="30B351E0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590B1E7" w14:textId="2A3D30ED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B05C581" w14:textId="5B28A886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,</w:t>
            </w:r>
            <w:r w:rsidRPr="004C7DC1">
              <w:rPr>
                <w:color w:val="000000"/>
                <w:szCs w:val="18"/>
                <w:lang w:val="fr-FR"/>
              </w:rPr>
              <w:t>99</w:t>
            </w:r>
            <w:r w:rsidR="003C07DF" w:rsidRPr="004C7DC1">
              <w:rPr>
                <w:color w:val="000000"/>
                <w:szCs w:val="18"/>
                <w:lang w:val="fr-FR"/>
              </w:rPr>
              <w:t> </w:t>
            </w:r>
            <w:r w:rsidRPr="004C7DC1">
              <w:rPr>
                <w:color w:val="000000"/>
                <w:szCs w:val="18"/>
                <w:lang w:val="fr-FR"/>
              </w:rPr>
              <w:t>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2776D6D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95 %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51D661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95 %</w:t>
            </w:r>
          </w:p>
        </w:tc>
      </w:tr>
      <w:tr w:rsidR="00F202C5" w:rsidRPr="004C7DC1" w14:paraId="6F522D50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DBC68C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Fours à ciment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500C31A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EDA60B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ABDF08E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3C22C9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4B3453E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83724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AC2D6F8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FBDBA24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9ACCF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B53FE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961284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4E740B67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3EA13EE3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Oxydation des gaz et des fumées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AF668C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1F4E3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E09B58E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586ED4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44A0E8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81BC79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CC53D2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5C7013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E858558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3598B49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D415558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21FDE4B6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E640C3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Incinération par injection de liquides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4F6A9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1B8A5A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3B6E09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9D3B9AE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872F7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F34A73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200EC8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87E222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F0ED5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CECF4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AF3472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50B9E3F8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43BD46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Incinération des déchets solides municipaux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650A62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F01D544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45F820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F0BDE7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5619314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545409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28BB1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DD7F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73EA1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1E749E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10AA71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</w:tr>
      <w:tr w:rsidR="00F202C5" w:rsidRPr="004C7DC1" w14:paraId="56EC6F7C" w14:textId="77777777" w:rsidTr="00986D3D">
        <w:trPr>
          <w:trHeight w:val="66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66B722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Réacteur thermique à milieu poreux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307A3A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71D205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36DB28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26766A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3D9B45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E92742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93CFC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99756C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DE97E7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1A66BF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8887B3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0BBAA194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7DC050" w14:textId="705793ED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Craquage </w:t>
            </w:r>
            <w:r w:rsidR="00F757EA" w:rsidRPr="004C7DC1">
              <w:rPr>
                <w:color w:val="000000"/>
                <w:szCs w:val="18"/>
                <w:lang w:val="fr-FR"/>
              </w:rPr>
              <w:br/>
            </w:r>
            <w:r w:rsidRPr="004C7DC1">
              <w:rPr>
                <w:color w:val="000000"/>
                <w:szCs w:val="18"/>
                <w:lang w:val="fr-FR"/>
              </w:rPr>
              <w:t>en réacteur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E4795D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B4CAF6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7F1C8C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1B0434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211AB1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ADEA42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A4D09A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877DAB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90EFEF7" w14:textId="5BBBB88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F582B10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478DCC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071F3E66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1D551B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Incinération par four rotatif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FAD37CB" w14:textId="2817D1C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3423DCF" w14:textId="75309CD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F4A30F3" w14:textId="75BA5B1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C44B2C4" w14:textId="4B0976C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28AF6E6" w14:textId="6307948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2EAC65" w14:textId="1605AD2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1988C89" w14:textId="07FD2BA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454488D" w14:textId="7F0767C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700877" w14:textId="5E4B2A3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5017C65" w14:textId="5846D35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0E0D42" w14:textId="43828B6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</w:tr>
      <w:tr w:rsidR="00F202C5" w:rsidRPr="004C7DC1" w14:paraId="7E0B254E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A982F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Décomposition thermique du bromure de méthyle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612AC4E" w14:textId="35FC564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568ED01" w14:textId="46DC12E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558E978" w14:textId="13AFE3E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F01A3F1" w14:textId="4ED7A23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CFB3E6D" w14:textId="0A811E7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D96A866" w14:textId="7337D8F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7C731DC" w14:textId="2BEFD15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0B8D7" w14:textId="19A0E3E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4FC381" w14:textId="650B0DF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700C1CED" w14:textId="77777777" w:rsidR="00F202C5" w:rsidRPr="004C7DC1" w:rsidRDefault="00F202C5" w:rsidP="00B42F76">
            <w:pPr>
              <w:pStyle w:val="Normal-pool-Table"/>
              <w:rPr>
                <w:color w:val="FF0000"/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BEB3F9" w14:textId="77777777" w:rsidR="00F202C5" w:rsidRPr="004C7DC1" w:rsidRDefault="00F202C5" w:rsidP="00B42F76">
            <w:pPr>
              <w:pStyle w:val="Normal-pool-Table"/>
              <w:rPr>
                <w:color w:val="FF0000"/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48A08344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CA316FA" w14:textId="549A0DCA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Arc plasma à l</w:t>
            </w:r>
            <w:r w:rsidR="00FC7FC8" w:rsidRPr="004C7DC1">
              <w:rPr>
                <w:color w:val="000000"/>
                <w:szCs w:val="18"/>
                <w:lang w:val="fr-FR"/>
              </w:rPr>
              <w:t>’</w:t>
            </w:r>
            <w:r w:rsidRPr="004C7DC1">
              <w:rPr>
                <w:color w:val="000000"/>
                <w:szCs w:val="18"/>
                <w:lang w:val="fr-FR"/>
              </w:rPr>
              <w:t>argon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7B52F30" w14:textId="5CDFEFF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E03162" w14:textId="716AF8B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FD35A7D" w14:textId="65E47C0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A4337BD" w14:textId="5DE59FF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FBE2EB1" w14:textId="431CB9D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E121EC2" w14:textId="00A1334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832C5E1" w14:textId="2F219C0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EDE1492" w14:textId="1E1D745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8C7D19E" w14:textId="17520CD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4C19D8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2C4F2B9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6B2957C9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0D89C4C" w14:textId="3EA714B2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lastRenderedPageBreak/>
              <w:t>Arc plasma à la vapeur d</w:t>
            </w:r>
            <w:r w:rsidR="00FC7FC8" w:rsidRPr="004C7DC1">
              <w:rPr>
                <w:color w:val="000000"/>
                <w:szCs w:val="18"/>
                <w:highlight w:val="yellow"/>
                <w:lang w:val="fr-FR"/>
              </w:rPr>
              <w:t>’</w:t>
            </w:r>
            <w:r w:rsidRPr="004C7DC1">
              <w:rPr>
                <w:color w:val="000000"/>
                <w:szCs w:val="18"/>
                <w:highlight w:val="yellow"/>
                <w:lang w:val="fr-FR"/>
              </w:rPr>
              <w:t>eau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F0EC39" w14:textId="6B4A6CD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A30DAA" w14:textId="1B69F05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B500D1E" w14:textId="02EBBC0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143A58" w14:textId="32E237B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80F4B51" w14:textId="15A141FE" w:rsidR="00F202C5" w:rsidRPr="004C7DC1" w:rsidRDefault="004A01F5" w:rsidP="00B42F76">
            <w:pPr>
              <w:pStyle w:val="Normal-pool-Table"/>
              <w:rPr>
                <w:szCs w:val="18"/>
                <w:highlight w:val="yellow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C913F5" w14:textId="6F4982C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60F53F4" w14:textId="0F393F8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5148916" w14:textId="5D730DD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BFBD8" w14:textId="6A4C14D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highlight w:val="yellow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55941B3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C3A144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34E259B4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19B25B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Plasma à couplage inductif par radiofréquence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0DC1C1B" w14:textId="5D2798A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72F29D9" w14:textId="011D758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765555A" w14:textId="5C78B848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8850A4" w14:textId="7A44F8A8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98A4944" w14:textId="132C1FA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9299D8E" w14:textId="40F5F4E8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8E20FC" w14:textId="5811E07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3943991" w14:textId="601853E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71373B" w14:textId="050F566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A60BE2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6CCC3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34A2083F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A98296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Plasma micro-ondes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A7A2F09" w14:textId="2DAB211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6B5072" w14:textId="770A12C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FA1FFF" w14:textId="3AE594D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5AA59C4" w14:textId="70F84465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342B635" w14:textId="5B0ABB8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154C86C" w14:textId="7D030E4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99C7C7" w14:textId="3DC3B73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91F063" w14:textId="0698483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BFF0A9" w14:textId="39840CF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5807669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C4B6D04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74364BF2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2331E7" w14:textId="4B6CBE64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Arc plasma à l</w:t>
            </w:r>
            <w:r w:rsidR="00FC7FC8" w:rsidRPr="004C7DC1">
              <w:rPr>
                <w:color w:val="000000"/>
                <w:szCs w:val="18"/>
                <w:lang w:val="fr-FR"/>
              </w:rPr>
              <w:t>’</w:t>
            </w:r>
            <w:r w:rsidRPr="004C7DC1">
              <w:rPr>
                <w:color w:val="000000"/>
                <w:szCs w:val="18"/>
                <w:lang w:val="fr-FR"/>
              </w:rPr>
              <w:t>azote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3E3CAB" w14:textId="2BDA1A7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AA261D" w14:textId="786737F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C851701" w14:textId="4738B7B5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38D04D7E" w14:textId="39BACE7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39A33B" w14:textId="079FA6F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37DAB7" w14:textId="3FDFFA7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CE4E82" w14:textId="12078FD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AA6BB9F" w14:textId="71FCC85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978CEA7" w14:textId="1790E25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A9CBB4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9CA629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17CDFC08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20C691D" w14:textId="77777777" w:rsidR="00F202C5" w:rsidRPr="004C7DC1" w:rsidRDefault="00F202C5" w:rsidP="00B42F76">
            <w:pPr>
              <w:pStyle w:val="Normal-pool-Table"/>
              <w:rPr>
                <w:szCs w:val="18"/>
                <w:vertAlign w:val="subscript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Réaction chimique avec H₂ et CO₂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11297473" w14:textId="3A46AC1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E651D5D" w14:textId="742CB6B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82484D4" w14:textId="0C4615B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C087F38" w14:textId="18DB189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D058F1D" w14:textId="0BEA097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9502A79" w14:textId="5443538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7A1CD3" w14:textId="7B1EFD1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EB0C5AF" w14:textId="4CA707A8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CAE28" w14:textId="542F355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BD1F75F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610BABE3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11094C7B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4A8D3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proofErr w:type="spellStart"/>
            <w:r w:rsidRPr="004C7DC1">
              <w:rPr>
                <w:color w:val="000000"/>
                <w:szCs w:val="18"/>
                <w:lang w:val="fr-FR"/>
              </w:rPr>
              <w:t>Déshalogénation</w:t>
            </w:r>
            <w:proofErr w:type="spellEnd"/>
            <w:r w:rsidRPr="004C7DC1">
              <w:rPr>
                <w:color w:val="000000"/>
                <w:szCs w:val="18"/>
                <w:lang w:val="fr-FR"/>
              </w:rPr>
              <w:t xml:space="preserve"> catalytique en phase gazeuse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B17FCF9" w14:textId="30701AB5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50CAAC" w14:textId="07BC001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07C301B" w14:textId="183A3EE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74E4CF4" w14:textId="251E2A9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71EB21FA" w14:textId="267A13C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4835EE4" w14:textId="4F5F6F0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EDC4066" w14:textId="151B1383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29F4E4B" w14:textId="16A8FC3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48B406E" w14:textId="7E25704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D3383BE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C52015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5ED7AFC3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C7CC2C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Réacteur à vapeur surchauffée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7F08463" w14:textId="2F118130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113799F" w14:textId="641F05DE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32D9051" w14:textId="0A28070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16065F2D" w14:textId="4A080DF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D7DFC78" w14:textId="416ACBA9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54B4722" w14:textId="49E227E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3F4BE64" w14:textId="13B6452F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F38D066" w14:textId="33FECC2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19FE399" w14:textId="6B30392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2DEB38E1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33F1D07A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584BC081" w14:textId="77777777" w:rsidTr="00986D3D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37EA4B5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Réaction thermique avec le méthane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C817790" w14:textId="6700775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DD4B7EA" w14:textId="2E12FF4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4A0555D" w14:textId="5D10A19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F7A3F6" w14:textId="36FD6C3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859B950" w14:textId="58D378D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526D43A" w14:textId="14243325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DA8AEAD" w14:textId="6943BB3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B421B8E" w14:textId="4295D444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2280867" w14:textId="7117E5AA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44D72DF6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0E0B0858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  <w:tr w:rsidR="00F202C5" w:rsidRPr="004C7DC1" w14:paraId="62B67131" w14:textId="77777777" w:rsidTr="00986D3D">
        <w:trPr>
          <w:trHeight w:val="765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D24F8F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Décomposition thermique du bromure de méthyle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3E700F58" w14:textId="74EA9FAB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6C09874C" w14:textId="5792634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449850C4" w14:textId="41F7A3C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366" w:type="dxa"/>
            <w:shd w:val="clear" w:color="auto" w:fill="FAE2D5"/>
            <w:tcMar>
              <w:left w:w="108" w:type="dxa"/>
              <w:right w:w="108" w:type="dxa"/>
            </w:tcMar>
          </w:tcPr>
          <w:p w14:paraId="225F473F" w14:textId="2803B16D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216" w:type="dxa"/>
            <w:shd w:val="clear" w:color="auto" w:fill="FAE2D5"/>
            <w:tcMar>
              <w:left w:w="108" w:type="dxa"/>
              <w:right w:w="108" w:type="dxa"/>
            </w:tcMar>
          </w:tcPr>
          <w:p w14:paraId="3C3CFFC6" w14:textId="78D53971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0B2D1823" w14:textId="349969B2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C03BBF2" w14:textId="3E622B2C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Approuvé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64E2CD3" w14:textId="3BBA2CA6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01A626F" w14:textId="3C7601D7" w:rsidR="00F202C5" w:rsidRPr="004C7DC1" w:rsidRDefault="004A01F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>Non déterminé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1F3F169D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14:paraId="52535A27" w14:textId="77777777" w:rsidR="00F202C5" w:rsidRPr="004C7DC1" w:rsidRDefault="00F202C5" w:rsidP="00B42F76">
            <w:pPr>
              <w:pStyle w:val="Normal-pool-Table"/>
              <w:rPr>
                <w:szCs w:val="18"/>
                <w:lang w:val="fr-FR"/>
              </w:rPr>
            </w:pPr>
            <w:r w:rsidRPr="004C7DC1">
              <w:rPr>
                <w:color w:val="000000"/>
                <w:szCs w:val="18"/>
                <w:lang w:val="fr-FR"/>
              </w:rPr>
              <w:t xml:space="preserve"> </w:t>
            </w:r>
          </w:p>
        </w:tc>
      </w:tr>
    </w:tbl>
    <w:p w14:paraId="0C215BA4" w14:textId="77777777" w:rsidR="00F202C5" w:rsidRPr="004C7DC1" w:rsidRDefault="00F202C5" w:rsidP="00F202C5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1"/>
        <w:gridCol w:w="2901"/>
        <w:gridCol w:w="2901"/>
      </w:tblGrid>
      <w:tr w:rsidR="00F202C5" w:rsidRPr="004C7DC1" w14:paraId="2989E21D" w14:textId="77777777" w:rsidTr="00B42F76">
        <w:tc>
          <w:tcPr>
            <w:tcW w:w="2900" w:type="dxa"/>
          </w:tcPr>
          <w:p w14:paraId="76C55933" w14:textId="77777777" w:rsidR="00F202C5" w:rsidRPr="004C7DC1" w:rsidRDefault="00F202C5" w:rsidP="00B42F76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2901" w:type="dxa"/>
          </w:tcPr>
          <w:p w14:paraId="0BFBE354" w14:textId="77777777" w:rsidR="00F202C5" w:rsidRPr="004C7DC1" w:rsidRDefault="00F202C5" w:rsidP="00B42F76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594CD346" w14:textId="77777777" w:rsidR="00F202C5" w:rsidRPr="004C7DC1" w:rsidRDefault="00F202C5" w:rsidP="00B42F76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2901" w:type="dxa"/>
          </w:tcPr>
          <w:p w14:paraId="73520263" w14:textId="77777777" w:rsidR="00F202C5" w:rsidRPr="004C7DC1" w:rsidRDefault="00F202C5" w:rsidP="00B42F76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2901" w:type="dxa"/>
          </w:tcPr>
          <w:p w14:paraId="2C3287A0" w14:textId="77777777" w:rsidR="00F202C5" w:rsidRPr="004C7DC1" w:rsidRDefault="00F202C5" w:rsidP="00B42F76">
            <w:pPr>
              <w:pStyle w:val="Normal-pool"/>
              <w:spacing w:before="520"/>
              <w:rPr>
                <w:lang w:val="fr-FR"/>
              </w:rPr>
            </w:pPr>
          </w:p>
        </w:tc>
      </w:tr>
    </w:tbl>
    <w:p w14:paraId="25E54BB6" w14:textId="4171ACDA" w:rsidR="00E760BF" w:rsidRPr="004C7DC1" w:rsidRDefault="00E760BF" w:rsidP="00E760BF">
      <w:pPr>
        <w:pStyle w:val="Normal-pool"/>
        <w:rPr>
          <w:rFonts w:eastAsiaTheme="minorEastAsia"/>
          <w:lang w:val="fr-FR"/>
        </w:rPr>
      </w:pPr>
    </w:p>
    <w:sectPr w:rsidR="00E760BF" w:rsidRPr="004C7DC1" w:rsidSect="00E94AD5">
      <w:headerReference w:type="first" r:id="rId16"/>
      <w:footerReference w:type="first" r:id="rId17"/>
      <w:pgSz w:w="16839" w:h="11907" w:orient="landscape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B275" w14:textId="77777777" w:rsidR="00F852D0" w:rsidRPr="00E760BF" w:rsidRDefault="00F852D0">
      <w:r w:rsidRPr="00E760BF">
        <w:separator/>
      </w:r>
    </w:p>
  </w:endnote>
  <w:endnote w:type="continuationSeparator" w:id="0">
    <w:p w14:paraId="2B02B078" w14:textId="77777777" w:rsidR="00F852D0" w:rsidRPr="00E760BF" w:rsidRDefault="00F852D0">
      <w:r w:rsidRPr="00E76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EB4" w14:textId="0306116B" w:rsidR="00F202C5" w:rsidRPr="00E94AD5" w:rsidRDefault="00E94AD5" w:rsidP="00E94AD5">
    <w:pPr>
      <w:pStyle w:val="Footer-pool"/>
      <w:rPr>
        <w:b w:val="0"/>
        <w:bCs/>
      </w:rPr>
    </w:pPr>
    <w:r w:rsidRPr="00E94AD5">
      <w:rPr>
        <w:rStyle w:val="PageNumber"/>
        <w:b/>
        <w:bCs/>
      </w:rPr>
      <w:fldChar w:fldCharType="begin"/>
    </w:r>
    <w:r w:rsidRPr="00E94AD5">
      <w:rPr>
        <w:rStyle w:val="PageNumber"/>
        <w:b/>
        <w:bCs/>
      </w:rPr>
      <w:instrText xml:space="preserve"> PAGE </w:instrText>
    </w:r>
    <w:r w:rsidRPr="00E94AD5">
      <w:rPr>
        <w:rStyle w:val="PageNumber"/>
        <w:b/>
        <w:bCs/>
      </w:rPr>
      <w:fldChar w:fldCharType="separate"/>
    </w:r>
    <w:r w:rsidRPr="00E94AD5">
      <w:rPr>
        <w:rStyle w:val="PageNumber"/>
        <w:b/>
        <w:bCs/>
        <w:noProof/>
      </w:rPr>
      <w:t>2</w:t>
    </w:r>
    <w:r w:rsidRPr="00E94AD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CAC" w14:textId="1A414ECA" w:rsidR="00F202C5" w:rsidRPr="00E94AD5" w:rsidRDefault="00E94AD5" w:rsidP="00E94AD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260" w14:textId="56A7A719" w:rsidR="00F202C5" w:rsidRPr="00E94AD5" w:rsidRDefault="007A4814" w:rsidP="00E94AD5">
    <w:pPr>
      <w:pStyle w:val="Footer-jobnumber"/>
    </w:pPr>
    <w:bookmarkStart w:id="9" w:name="FooterJobDate"/>
    <w:r>
      <w:t>K2610383[E]</w:t>
    </w:r>
    <w:r w:rsidR="00416031">
      <w:tab/>
      <w:t>1</w:t>
    </w:r>
    <w:r w:rsidR="000D6D67">
      <w:t>6</w:t>
    </w:r>
    <w:r>
      <w:t>0726</w:t>
    </w:r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5D20" w14:textId="2CB4FFCB" w:rsidR="00E760BF" w:rsidRPr="00E94AD5" w:rsidRDefault="00E760BF" w:rsidP="00E9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F665" w14:textId="77777777" w:rsidR="00F852D0" w:rsidRPr="00E760BF" w:rsidRDefault="00F852D0" w:rsidP="00C70B49">
      <w:pPr>
        <w:pStyle w:val="Footnote-Separator"/>
        <w:rPr>
          <w:szCs w:val="18"/>
        </w:rPr>
      </w:pPr>
      <w:r w:rsidRPr="00E760BF">
        <w:separator/>
      </w:r>
    </w:p>
  </w:footnote>
  <w:footnote w:type="continuationSeparator" w:id="0">
    <w:p w14:paraId="01E87C5C" w14:textId="77777777" w:rsidR="00F852D0" w:rsidRPr="00E760BF" w:rsidRDefault="00F852D0" w:rsidP="00C70B49">
      <w:pPr>
        <w:pStyle w:val="Footnote-Separator"/>
      </w:pPr>
      <w:r w:rsidRPr="00E760BF">
        <w:continuationSeparator/>
      </w:r>
    </w:p>
  </w:footnote>
  <w:footnote w:type="continuationNotice" w:id="1">
    <w:p w14:paraId="0B2E9B81" w14:textId="77777777" w:rsidR="00F852D0" w:rsidRPr="00E760BF" w:rsidRDefault="00F852D0" w:rsidP="00C70B49">
      <w:pPr>
        <w:pStyle w:val="ASpacer"/>
      </w:pPr>
    </w:p>
  </w:footnote>
  <w:footnote w:id="2">
    <w:p w14:paraId="23FB767F" w14:textId="4BAFA7BF" w:rsidR="00DF36E6" w:rsidRPr="00363764" w:rsidRDefault="00DF36E6" w:rsidP="00363764">
      <w:pPr>
        <w:pStyle w:val="Footnote-Text"/>
        <w:rPr>
          <w:szCs w:val="18"/>
        </w:rPr>
      </w:pPr>
      <w:r w:rsidRPr="00363764">
        <w:rPr>
          <w:rStyle w:val="FootnoteReference"/>
          <w:lang w:val="fr-FR"/>
        </w:rPr>
        <w:footnoteRef/>
      </w:r>
      <w:r>
        <w:rPr>
          <w:lang w:val="fr-FR"/>
        </w:rPr>
        <w:t xml:space="preserve"> UNEP/OzL.Pro.4/15.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B6F1" w14:textId="54C87603" w:rsidR="00F202C5" w:rsidRPr="00E94AD5" w:rsidRDefault="0084240B" w:rsidP="00E94AD5">
    <w:pPr>
      <w:pStyle w:val="Header-pool"/>
    </w:pPr>
    <w:r>
      <w:rPr>
        <w:noProof/>
      </w:rPr>
      <w:t>UNEP/OzL.Pro.WG.1/48/CRP.5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D112" w14:textId="01357672" w:rsidR="00F202C5" w:rsidRPr="00E94AD5" w:rsidRDefault="0084240B" w:rsidP="00E94AD5">
    <w:pPr>
      <w:pStyle w:val="Header-pool"/>
      <w:jc w:val="right"/>
    </w:pPr>
    <w:r>
      <w:rPr>
        <w:noProof/>
      </w:rPr>
      <w:t>UNEP/OzL.Pro.WG.1/48/CRP.5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25E" w14:textId="77777777" w:rsidR="00E760BF" w:rsidRPr="00E760BF" w:rsidRDefault="00E760BF" w:rsidP="00E760BF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25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188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4B9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C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E44A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8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A11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E86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C11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6C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5773"/>
    <w:multiLevelType w:val="hybridMultilevel"/>
    <w:tmpl w:val="1E18F66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778714746">
    <w:abstractNumId w:val="9"/>
  </w:num>
  <w:num w:numId="7" w16cid:durableId="1550728647">
    <w:abstractNumId w:val="7"/>
  </w:num>
  <w:num w:numId="8" w16cid:durableId="1038512054">
    <w:abstractNumId w:val="6"/>
  </w:num>
  <w:num w:numId="9" w16cid:durableId="1272012683">
    <w:abstractNumId w:val="5"/>
  </w:num>
  <w:num w:numId="10" w16cid:durableId="1517885021">
    <w:abstractNumId w:val="4"/>
  </w:num>
  <w:num w:numId="11" w16cid:durableId="349527012">
    <w:abstractNumId w:val="8"/>
  </w:num>
  <w:num w:numId="12" w16cid:durableId="1565138279">
    <w:abstractNumId w:val="3"/>
  </w:num>
  <w:num w:numId="13" w16cid:durableId="344330355">
    <w:abstractNumId w:val="2"/>
  </w:num>
  <w:num w:numId="14" w16cid:durableId="1430736214">
    <w:abstractNumId w:val="1"/>
  </w:num>
  <w:num w:numId="15" w16cid:durableId="53092912">
    <w:abstractNumId w:val="0"/>
  </w:num>
  <w:num w:numId="16" w16cid:durableId="21085041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insDel="0" w:formatting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BF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0FFF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6D67"/>
    <w:rsid w:val="000D71B6"/>
    <w:rsid w:val="000E0405"/>
    <w:rsid w:val="000F6CFF"/>
    <w:rsid w:val="00115F73"/>
    <w:rsid w:val="00117280"/>
    <w:rsid w:val="001202E3"/>
    <w:rsid w:val="00123699"/>
    <w:rsid w:val="0013059D"/>
    <w:rsid w:val="0014083A"/>
    <w:rsid w:val="00141A55"/>
    <w:rsid w:val="00141F2F"/>
    <w:rsid w:val="00141F5A"/>
    <w:rsid w:val="001446A3"/>
    <w:rsid w:val="00155395"/>
    <w:rsid w:val="001727BC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0EDC"/>
    <w:rsid w:val="0022762D"/>
    <w:rsid w:val="00232303"/>
    <w:rsid w:val="00234806"/>
    <w:rsid w:val="002378D6"/>
    <w:rsid w:val="00243D36"/>
    <w:rsid w:val="00247707"/>
    <w:rsid w:val="002609C8"/>
    <w:rsid w:val="00261292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2E9"/>
    <w:rsid w:val="002F5C79"/>
    <w:rsid w:val="003019E2"/>
    <w:rsid w:val="003114EF"/>
    <w:rsid w:val="0031413F"/>
    <w:rsid w:val="003148BB"/>
    <w:rsid w:val="00317976"/>
    <w:rsid w:val="00323885"/>
    <w:rsid w:val="00331475"/>
    <w:rsid w:val="00351A93"/>
    <w:rsid w:val="00355EA9"/>
    <w:rsid w:val="003578DE"/>
    <w:rsid w:val="00363764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5342"/>
    <w:rsid w:val="003A69D1"/>
    <w:rsid w:val="003A7705"/>
    <w:rsid w:val="003B1545"/>
    <w:rsid w:val="003C035E"/>
    <w:rsid w:val="003C07DF"/>
    <w:rsid w:val="003C3267"/>
    <w:rsid w:val="003C409D"/>
    <w:rsid w:val="003C5BA6"/>
    <w:rsid w:val="003C7DA3"/>
    <w:rsid w:val="003F0E85"/>
    <w:rsid w:val="003F4CBF"/>
    <w:rsid w:val="00404CB5"/>
    <w:rsid w:val="00405251"/>
    <w:rsid w:val="00410C55"/>
    <w:rsid w:val="00416031"/>
    <w:rsid w:val="0041604D"/>
    <w:rsid w:val="00416854"/>
    <w:rsid w:val="00417725"/>
    <w:rsid w:val="0041779A"/>
    <w:rsid w:val="00417B99"/>
    <w:rsid w:val="00420163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57A6"/>
    <w:rsid w:val="00477AFF"/>
    <w:rsid w:val="00481F0B"/>
    <w:rsid w:val="00495BFE"/>
    <w:rsid w:val="004A01F5"/>
    <w:rsid w:val="004A42E1"/>
    <w:rsid w:val="004B162C"/>
    <w:rsid w:val="004C3DBE"/>
    <w:rsid w:val="004C5C96"/>
    <w:rsid w:val="004C7DC1"/>
    <w:rsid w:val="004D06A4"/>
    <w:rsid w:val="004D60EA"/>
    <w:rsid w:val="004E59D4"/>
    <w:rsid w:val="004E79AC"/>
    <w:rsid w:val="004F0E94"/>
    <w:rsid w:val="004F1A81"/>
    <w:rsid w:val="004F7658"/>
    <w:rsid w:val="0051748C"/>
    <w:rsid w:val="005218D9"/>
    <w:rsid w:val="00532E47"/>
    <w:rsid w:val="00536186"/>
    <w:rsid w:val="00536826"/>
    <w:rsid w:val="0054059E"/>
    <w:rsid w:val="00544CBB"/>
    <w:rsid w:val="00550518"/>
    <w:rsid w:val="00552CD6"/>
    <w:rsid w:val="00563F15"/>
    <w:rsid w:val="005670DD"/>
    <w:rsid w:val="0057315F"/>
    <w:rsid w:val="00573486"/>
    <w:rsid w:val="00575DF1"/>
    <w:rsid w:val="00576104"/>
    <w:rsid w:val="00577E0B"/>
    <w:rsid w:val="00591618"/>
    <w:rsid w:val="00591ABF"/>
    <w:rsid w:val="005935FF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0B08"/>
    <w:rsid w:val="00651BFA"/>
    <w:rsid w:val="006533B3"/>
    <w:rsid w:val="00663A80"/>
    <w:rsid w:val="00665A4B"/>
    <w:rsid w:val="006731FE"/>
    <w:rsid w:val="00692E2A"/>
    <w:rsid w:val="006A76F2"/>
    <w:rsid w:val="006C3DDA"/>
    <w:rsid w:val="006D2A58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31C18"/>
    <w:rsid w:val="00732257"/>
    <w:rsid w:val="00734CAA"/>
    <w:rsid w:val="00736583"/>
    <w:rsid w:val="00743CAA"/>
    <w:rsid w:val="0075473A"/>
    <w:rsid w:val="00755106"/>
    <w:rsid w:val="0075533C"/>
    <w:rsid w:val="00757581"/>
    <w:rsid w:val="00760863"/>
    <w:rsid w:val="007611A0"/>
    <w:rsid w:val="007658A0"/>
    <w:rsid w:val="00771992"/>
    <w:rsid w:val="007800A5"/>
    <w:rsid w:val="00783907"/>
    <w:rsid w:val="00796D3F"/>
    <w:rsid w:val="007A1683"/>
    <w:rsid w:val="007A36F8"/>
    <w:rsid w:val="007A4814"/>
    <w:rsid w:val="007A52BC"/>
    <w:rsid w:val="007A5C12"/>
    <w:rsid w:val="007A7CB0"/>
    <w:rsid w:val="007B68A3"/>
    <w:rsid w:val="007B6C6F"/>
    <w:rsid w:val="007C2541"/>
    <w:rsid w:val="007D66A8"/>
    <w:rsid w:val="007D773D"/>
    <w:rsid w:val="007E003F"/>
    <w:rsid w:val="00802E72"/>
    <w:rsid w:val="00805F1D"/>
    <w:rsid w:val="00816091"/>
    <w:rsid w:val="008164F2"/>
    <w:rsid w:val="00821395"/>
    <w:rsid w:val="00830E26"/>
    <w:rsid w:val="0084240B"/>
    <w:rsid w:val="00843576"/>
    <w:rsid w:val="00843B64"/>
    <w:rsid w:val="008470BD"/>
    <w:rsid w:val="008478FC"/>
    <w:rsid w:val="00862AD7"/>
    <w:rsid w:val="00867BFF"/>
    <w:rsid w:val="008708AB"/>
    <w:rsid w:val="00876B20"/>
    <w:rsid w:val="008839C8"/>
    <w:rsid w:val="0088480A"/>
    <w:rsid w:val="0088623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C7E93"/>
    <w:rsid w:val="008D3AE0"/>
    <w:rsid w:val="008D7C99"/>
    <w:rsid w:val="008E0FCB"/>
    <w:rsid w:val="00907D78"/>
    <w:rsid w:val="0092178C"/>
    <w:rsid w:val="00923B0A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7621"/>
    <w:rsid w:val="00967E6A"/>
    <w:rsid w:val="00980797"/>
    <w:rsid w:val="009840B6"/>
    <w:rsid w:val="00986D3D"/>
    <w:rsid w:val="009935AC"/>
    <w:rsid w:val="009A6054"/>
    <w:rsid w:val="009B470A"/>
    <w:rsid w:val="009B4A0F"/>
    <w:rsid w:val="009C0FEC"/>
    <w:rsid w:val="009C11D2"/>
    <w:rsid w:val="009C6C70"/>
    <w:rsid w:val="009D0922"/>
    <w:rsid w:val="009D0B63"/>
    <w:rsid w:val="009E0219"/>
    <w:rsid w:val="009E1A50"/>
    <w:rsid w:val="009E307E"/>
    <w:rsid w:val="009E47E3"/>
    <w:rsid w:val="009F04DA"/>
    <w:rsid w:val="00A03A4A"/>
    <w:rsid w:val="00A07870"/>
    <w:rsid w:val="00A07F19"/>
    <w:rsid w:val="00A1348D"/>
    <w:rsid w:val="00A142D1"/>
    <w:rsid w:val="00A1489E"/>
    <w:rsid w:val="00A232EE"/>
    <w:rsid w:val="00A30A72"/>
    <w:rsid w:val="00A35618"/>
    <w:rsid w:val="00A4175F"/>
    <w:rsid w:val="00A44411"/>
    <w:rsid w:val="00A469FA"/>
    <w:rsid w:val="00A50E94"/>
    <w:rsid w:val="00A52B0F"/>
    <w:rsid w:val="00A55B01"/>
    <w:rsid w:val="00A56B5B"/>
    <w:rsid w:val="00A603FF"/>
    <w:rsid w:val="00A60B7A"/>
    <w:rsid w:val="00A6107C"/>
    <w:rsid w:val="00A657DD"/>
    <w:rsid w:val="00A666A6"/>
    <w:rsid w:val="00A675FD"/>
    <w:rsid w:val="00A72437"/>
    <w:rsid w:val="00A80611"/>
    <w:rsid w:val="00A81CD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6842"/>
    <w:rsid w:val="00AF7C07"/>
    <w:rsid w:val="00B22C93"/>
    <w:rsid w:val="00B26441"/>
    <w:rsid w:val="00B27589"/>
    <w:rsid w:val="00B37EF9"/>
    <w:rsid w:val="00B405B7"/>
    <w:rsid w:val="00B45E6D"/>
    <w:rsid w:val="00B4774C"/>
    <w:rsid w:val="00B52222"/>
    <w:rsid w:val="00B523A2"/>
    <w:rsid w:val="00B54FE7"/>
    <w:rsid w:val="00B57C47"/>
    <w:rsid w:val="00B638E7"/>
    <w:rsid w:val="00B66901"/>
    <w:rsid w:val="00B71E6D"/>
    <w:rsid w:val="00B72070"/>
    <w:rsid w:val="00B779E1"/>
    <w:rsid w:val="00B859A3"/>
    <w:rsid w:val="00B91EE1"/>
    <w:rsid w:val="00BA0090"/>
    <w:rsid w:val="00BA1A67"/>
    <w:rsid w:val="00BA7826"/>
    <w:rsid w:val="00BB49DE"/>
    <w:rsid w:val="00BC07FE"/>
    <w:rsid w:val="00BD0163"/>
    <w:rsid w:val="00BD159E"/>
    <w:rsid w:val="00BE5B5F"/>
    <w:rsid w:val="00C0101F"/>
    <w:rsid w:val="00C23C07"/>
    <w:rsid w:val="00C26F55"/>
    <w:rsid w:val="00C30C63"/>
    <w:rsid w:val="00C32B37"/>
    <w:rsid w:val="00C33BFE"/>
    <w:rsid w:val="00C36B8B"/>
    <w:rsid w:val="00C47DBF"/>
    <w:rsid w:val="00C53666"/>
    <w:rsid w:val="00C54FD3"/>
    <w:rsid w:val="00C552FF"/>
    <w:rsid w:val="00C558DA"/>
    <w:rsid w:val="00C55AF3"/>
    <w:rsid w:val="00C60713"/>
    <w:rsid w:val="00C70B49"/>
    <w:rsid w:val="00C75C7C"/>
    <w:rsid w:val="00C80458"/>
    <w:rsid w:val="00C81951"/>
    <w:rsid w:val="00C83A8F"/>
    <w:rsid w:val="00C84759"/>
    <w:rsid w:val="00C97578"/>
    <w:rsid w:val="00CA4EA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C4B"/>
    <w:rsid w:val="00D1352A"/>
    <w:rsid w:val="00D13EDE"/>
    <w:rsid w:val="00D169AF"/>
    <w:rsid w:val="00D25249"/>
    <w:rsid w:val="00D255A7"/>
    <w:rsid w:val="00D403C5"/>
    <w:rsid w:val="00D44172"/>
    <w:rsid w:val="00D526D8"/>
    <w:rsid w:val="00D53C40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3554"/>
    <w:rsid w:val="00DC46FF"/>
    <w:rsid w:val="00DC5254"/>
    <w:rsid w:val="00DD1A4F"/>
    <w:rsid w:val="00DD3107"/>
    <w:rsid w:val="00DD5EFF"/>
    <w:rsid w:val="00DD7C2C"/>
    <w:rsid w:val="00DE6E55"/>
    <w:rsid w:val="00DF36E6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5673C"/>
    <w:rsid w:val="00E600D6"/>
    <w:rsid w:val="00E63C75"/>
    <w:rsid w:val="00E646BE"/>
    <w:rsid w:val="00E65388"/>
    <w:rsid w:val="00E67833"/>
    <w:rsid w:val="00E74ACB"/>
    <w:rsid w:val="00E760BF"/>
    <w:rsid w:val="00E85B7D"/>
    <w:rsid w:val="00E9121B"/>
    <w:rsid w:val="00E94AD5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EF5AB5"/>
    <w:rsid w:val="00F03B69"/>
    <w:rsid w:val="00F07A50"/>
    <w:rsid w:val="00F113DA"/>
    <w:rsid w:val="00F202C5"/>
    <w:rsid w:val="00F23184"/>
    <w:rsid w:val="00F25F15"/>
    <w:rsid w:val="00F319FC"/>
    <w:rsid w:val="00F37DC8"/>
    <w:rsid w:val="00F439B3"/>
    <w:rsid w:val="00F43ABE"/>
    <w:rsid w:val="00F45AA8"/>
    <w:rsid w:val="00F502DD"/>
    <w:rsid w:val="00F511D5"/>
    <w:rsid w:val="00F52A1B"/>
    <w:rsid w:val="00F614FA"/>
    <w:rsid w:val="00F638FC"/>
    <w:rsid w:val="00F650C3"/>
    <w:rsid w:val="00F65D85"/>
    <w:rsid w:val="00F7203C"/>
    <w:rsid w:val="00F75453"/>
    <w:rsid w:val="00F757EA"/>
    <w:rsid w:val="00F76290"/>
    <w:rsid w:val="00F8091E"/>
    <w:rsid w:val="00F852D0"/>
    <w:rsid w:val="00F8615C"/>
    <w:rsid w:val="00F969E5"/>
    <w:rsid w:val="00F97AEE"/>
    <w:rsid w:val="00F97E54"/>
    <w:rsid w:val="00FA1C95"/>
    <w:rsid w:val="00FA6BB0"/>
    <w:rsid w:val="00FB1DFB"/>
    <w:rsid w:val="00FC7FC8"/>
    <w:rsid w:val="00FD2D77"/>
    <w:rsid w:val="00FD5860"/>
    <w:rsid w:val="00FE002E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12F8F"/>
  <w15:chartTrackingRefBased/>
  <w15:docId w15:val="{CACB9590-429E-42C3-A6E7-5160C166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E760B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E760B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E760B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E760B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E760B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E760B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E760B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E760B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E760B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E760B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760B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E760B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E760B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E760B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760B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760B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E760B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E760B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E760B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E760B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E760B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E760B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E760B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E760B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E760B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E760B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E760B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E760B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E760B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E760BF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E760B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E760BF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E760B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E760BF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E760B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60B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E760B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E760B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E760B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E760B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E760B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E760B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E760B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E760B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E760B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E760B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E760B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E760BF"/>
    <w:pPr>
      <w:spacing w:before="120"/>
    </w:pPr>
  </w:style>
  <w:style w:type="paragraph" w:customStyle="1" w:styleId="ATwoLetters">
    <w:name w:val="A_TwoLetters"/>
    <w:basedOn w:val="Normal-pool"/>
    <w:next w:val="Normal-pool"/>
    <w:rsid w:val="00E760BF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E760BF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E7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B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E760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E760BF"/>
  </w:style>
  <w:style w:type="character" w:customStyle="1" w:styleId="CommentTextChar">
    <w:name w:val="Comment Text Char"/>
    <w:basedOn w:val="DefaultParagraphFont"/>
    <w:link w:val="CommentText"/>
    <w:rsid w:val="00E760B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0B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E760B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E760BF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E760BF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760B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760B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60B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760B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760B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760BF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E760BF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E760BF"/>
    <w:pPr>
      <w:ind w:left="720"/>
      <w:contextualSpacing/>
    </w:pPr>
  </w:style>
  <w:style w:type="paragraph" w:styleId="NoSpacing">
    <w:name w:val="No Spacing"/>
    <w:uiPriority w:val="1"/>
    <w:semiHidden/>
    <w:qFormat/>
    <w:rsid w:val="00E760B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E760B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60BF"/>
    <w:rPr>
      <w:color w:val="808080"/>
      <w:lang w:val="en-GB"/>
    </w:rPr>
  </w:style>
  <w:style w:type="table" w:styleId="TableGrid">
    <w:name w:val="Table Grid"/>
    <w:basedOn w:val="TableNormal"/>
    <w:rsid w:val="00E7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E760B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E760B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E760BF"/>
    <w:rPr>
      <w:sz w:val="2"/>
    </w:rPr>
  </w:style>
  <w:style w:type="character" w:customStyle="1" w:styleId="ASpacerChar">
    <w:name w:val="A_Spacer Char"/>
    <w:basedOn w:val="DefaultParagraphFont"/>
    <w:link w:val="ASpacer"/>
    <w:rsid w:val="00E760B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E760BF"/>
  </w:style>
  <w:style w:type="character" w:styleId="UnresolvedMention">
    <w:name w:val="Unresolved Mention"/>
    <w:basedOn w:val="DefaultParagraphFont"/>
    <w:uiPriority w:val="99"/>
    <w:semiHidden/>
    <w:rsid w:val="00E760B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E760BF"/>
  </w:style>
  <w:style w:type="paragraph" w:customStyle="1" w:styleId="AText0">
    <w:name w:val="A_Text0"/>
    <w:basedOn w:val="AText"/>
    <w:next w:val="AText"/>
    <w:rsid w:val="00E760B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E760BF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uiPriority w:val="99"/>
    <w:rsid w:val="00E760B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E760B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E760B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E760BF"/>
  </w:style>
  <w:style w:type="paragraph" w:styleId="BlockText">
    <w:name w:val="Block Text"/>
    <w:basedOn w:val="Normal"/>
    <w:semiHidden/>
    <w:unhideWhenUsed/>
    <w:rsid w:val="00E760B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760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60B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E760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760B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E760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760B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760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760B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760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60B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760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760B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760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760B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760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60B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E760B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760B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760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760B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760BF"/>
  </w:style>
  <w:style w:type="character" w:customStyle="1" w:styleId="DateChar">
    <w:name w:val="Date Char"/>
    <w:basedOn w:val="DefaultParagraphFont"/>
    <w:link w:val="Date"/>
    <w:semiHidden/>
    <w:rsid w:val="00E760B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E760B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760B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760BF"/>
  </w:style>
  <w:style w:type="character" w:customStyle="1" w:styleId="E-mailSignatureChar">
    <w:name w:val="E-mail Signature Char"/>
    <w:basedOn w:val="DefaultParagraphFont"/>
    <w:link w:val="E-mailSignature"/>
    <w:semiHidden/>
    <w:rsid w:val="00E760BF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E760BF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E760B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E760BF"/>
  </w:style>
  <w:style w:type="character" w:customStyle="1" w:styleId="EndnoteTextChar">
    <w:name w:val="Endnote Text Char"/>
    <w:basedOn w:val="DefaultParagraphFont"/>
    <w:link w:val="EndnoteText"/>
    <w:semiHidden/>
    <w:rsid w:val="00E760B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E760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760B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E760BF"/>
  </w:style>
  <w:style w:type="character" w:customStyle="1" w:styleId="FootnoteTextChar">
    <w:name w:val="Footnote Text Char"/>
    <w:basedOn w:val="DefaultParagraphFont"/>
    <w:link w:val="FootnoteText"/>
    <w:semiHidden/>
    <w:rsid w:val="00E760BF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E760B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E760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760B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E760B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E760B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E760B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760BF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E760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E760B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E760B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760B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760B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760B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760B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760B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760B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760B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760B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760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760B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760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760B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E760B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6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760BF"/>
    <w:rPr>
      <w:lang w:val="en-GB"/>
    </w:rPr>
  </w:style>
  <w:style w:type="paragraph" w:styleId="List">
    <w:name w:val="List"/>
    <w:basedOn w:val="Normal"/>
    <w:semiHidden/>
    <w:unhideWhenUsed/>
    <w:rsid w:val="00E760B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760B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760B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760B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760BF"/>
    <w:pPr>
      <w:ind w:left="1415" w:hanging="283"/>
      <w:contextualSpacing/>
    </w:pPr>
  </w:style>
  <w:style w:type="paragraph" w:styleId="ListBullet">
    <w:name w:val="List Bullet"/>
    <w:basedOn w:val="Normal"/>
    <w:semiHidden/>
    <w:rsid w:val="00E760B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E760B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E760B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E760B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E760B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E760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760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E760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E760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E760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E760B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E760B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760B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760B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760B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E76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760BF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E76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760B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E760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760BF"/>
  </w:style>
  <w:style w:type="character" w:customStyle="1" w:styleId="NoteHeadingChar">
    <w:name w:val="Note Heading Char"/>
    <w:basedOn w:val="DefaultParagraphFont"/>
    <w:link w:val="NoteHeading"/>
    <w:semiHidden/>
    <w:rsid w:val="00E760B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E760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60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60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6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760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760BF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760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760B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760BF"/>
  </w:style>
  <w:style w:type="character" w:customStyle="1" w:styleId="SalutationChar">
    <w:name w:val="Salutation Char"/>
    <w:basedOn w:val="DefaultParagraphFont"/>
    <w:link w:val="Salutation"/>
    <w:semiHidden/>
    <w:rsid w:val="00E760B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E760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760B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E760B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E760B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E760B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E760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760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E760B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E760B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760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760B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E760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760B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E76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60B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F202C5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F202C5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57348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86100a8-bbaa-48b6-aa10-6d2082f346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DCCFF06D044688251B3E010FA2BB" ma:contentTypeVersion="17" ma:contentTypeDescription="Create a new document." ma:contentTypeScope="" ma:versionID="a8b78a233c82e8bd58fce03fefa5edb1">
  <xsd:schema xmlns:xsd="http://www.w3.org/2001/XMLSchema" xmlns:xs="http://www.w3.org/2001/XMLSchema" xmlns:p="http://schemas.microsoft.com/office/2006/metadata/properties" xmlns:ns2="786100a8-bbaa-48b6-aa10-6d2082f346b4" xmlns:ns3="25a4600d-fc45-4aed-ad1e-9b44b590e5cc" xmlns:ns4="985ec44e-1bab-4c0b-9df0-6ba128686fc9" targetNamespace="http://schemas.microsoft.com/office/2006/metadata/properties" ma:root="true" ma:fieldsID="7fd6797b6783b67570cc3cfd7dd3ec3e" ns2:_="" ns3:_="" ns4:_="">
    <xsd:import namespace="786100a8-bbaa-48b6-aa10-6d2082f346b4"/>
    <xsd:import namespace="25a4600d-fc45-4aed-ad1e-9b44b590e5c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00a8-bbaa-48b6-aa10-6d2082f3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600d-fc45-4aed-ad1e-9b44b590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c2a52b-b236-4f84-9b6f-fba945907974}" ma:internalName="TaxCatchAll" ma:showField="CatchAllData" ma:web="25a4600d-fc45-4aed-ad1e-9b44b590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1E8E9-98B6-4DF9-A84F-C2E65257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100a8-bbaa-48b6-aa10-6d2082f346b4"/>
    <ds:schemaRef ds:uri="25a4600d-fc45-4aed-ad1e-9b44b590e5c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3</Pages>
  <Words>784</Words>
  <Characters>4472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Herimalala Raveloarinjato</cp:lastModifiedBy>
  <cp:revision>2</cp:revision>
  <cp:lastPrinted>2026-07-14T15:36:00Z</cp:lastPrinted>
  <dcterms:created xsi:type="dcterms:W3CDTF">2026-07-15T13:11:00Z</dcterms:created>
  <dcterms:modified xsi:type="dcterms:W3CDTF">2026-07-15T13:11:00Z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0x0101001C49DCCFF06D044688251B3E010FA2BB</vt:lpwstr>
  </property>
  <property fmtid="{D5CDD505-2E9C-101B-9397-08002B2CF9AE}" pid="12" name="TranslatedWith">
    <vt:lpwstr>Mercury</vt:lpwstr>
  </property>
  <property fmtid="{D5CDD505-2E9C-101B-9397-08002B2CF9AE}" pid="13" name="GeneratedBy">
    <vt:lpwstr>lagues@un.org</vt:lpwstr>
  </property>
  <property fmtid="{D5CDD505-2E9C-101B-9397-08002B2CF9AE}" pid="14" name="GeneratedDate">
    <vt:lpwstr>07/14/2026 18:09:59</vt:lpwstr>
  </property>
  <property fmtid="{D5CDD505-2E9C-101B-9397-08002B2CF9AE}" pid="15" name="OriginalDocID">
    <vt:lpwstr>b4687d29-84ba-4fa5-b413-ea4f5b43d01e</vt:lpwstr>
  </property>
</Properties>
</file>